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Style w:val="9"/>
          <w:rFonts w:hint="eastAsia" w:ascii="黑体" w:hAnsi="黑体" w:eastAsia="黑体" w:cs="黑体"/>
          <w:b w:val="0"/>
          <w:bCs w:val="0"/>
          <w:color w:val="auto"/>
          <w:sz w:val="32"/>
          <w:szCs w:val="32"/>
          <w:highlight w:val="none"/>
          <w:u w:val="none"/>
          <w:lang w:eastAsia="zh-CN"/>
        </w:rPr>
      </w:pPr>
      <w:r>
        <w:rPr>
          <w:rStyle w:val="9"/>
          <w:rFonts w:hint="eastAsia" w:ascii="黑体" w:hAnsi="黑体" w:eastAsia="黑体" w:cs="黑体"/>
          <w:b w:val="0"/>
          <w:bCs w:val="0"/>
          <w:color w:val="auto"/>
          <w:sz w:val="32"/>
          <w:szCs w:val="32"/>
          <w:highlight w:val="none"/>
          <w:u w:val="none"/>
          <w:lang w:eastAsia="zh-CN"/>
        </w:rPr>
        <w:t>附件五：</w:t>
      </w:r>
    </w:p>
    <w:p>
      <w:pPr>
        <w:keepNext w:val="0"/>
        <w:keepLines w:val="0"/>
        <w:pageBreakBefore w:val="0"/>
        <w:widowControl w:val="0"/>
        <w:kinsoku/>
        <w:wordWrap/>
        <w:overflowPunct/>
        <w:topLinePunct w:val="0"/>
        <w:autoSpaceDE/>
        <w:autoSpaceDN/>
        <w:bidi w:val="0"/>
        <w:adjustRightInd/>
        <w:snapToGrid/>
        <w:spacing w:before="313" w:beforeLines="100" w:after="313" w:afterLines="100" w:line="560" w:lineRule="exact"/>
        <w:jc w:val="center"/>
        <w:textAlignment w:val="auto"/>
        <w:rPr>
          <w:rFonts w:hint="eastAsia" w:ascii="华文中宋" w:hAnsi="华文中宋" w:eastAsia="华文中宋" w:cs="华文中宋"/>
          <w:b/>
          <w:bCs/>
          <w:color w:val="auto"/>
          <w:sz w:val="44"/>
          <w:szCs w:val="44"/>
          <w:highlight w:val="none"/>
        </w:rPr>
      </w:pPr>
      <w:r>
        <w:rPr>
          <w:rFonts w:hint="eastAsia" w:ascii="华文中宋" w:hAnsi="华文中宋" w:eastAsia="华文中宋" w:cs="华文中宋"/>
          <w:b/>
          <w:bCs/>
          <w:color w:val="auto"/>
          <w:sz w:val="44"/>
          <w:szCs w:val="44"/>
          <w:highlight w:val="none"/>
          <w:lang w:eastAsia="zh-CN"/>
        </w:rPr>
        <w:t>许昌市市</w:t>
      </w:r>
      <w:r>
        <w:rPr>
          <w:rFonts w:hint="eastAsia" w:ascii="华文中宋" w:hAnsi="华文中宋" w:eastAsia="华文中宋" w:cs="华文中宋"/>
          <w:b/>
          <w:bCs/>
          <w:color w:val="auto"/>
          <w:sz w:val="44"/>
          <w:szCs w:val="44"/>
          <w:highlight w:val="none"/>
        </w:rPr>
        <w:t>级预算绩效评价管理办法</w:t>
      </w:r>
    </w:p>
    <w:p>
      <w:pPr>
        <w:keepNext w:val="0"/>
        <w:keepLines w:val="0"/>
        <w:pageBreakBefore w:val="0"/>
        <w:widowControl w:val="0"/>
        <w:kinsoku/>
        <w:wordWrap/>
        <w:overflowPunct/>
        <w:topLinePunct w:val="0"/>
        <w:autoSpaceDE/>
        <w:autoSpaceDN/>
        <w:bidi w:val="0"/>
        <w:adjustRightInd w:val="0"/>
        <w:snapToGrid w:val="0"/>
        <w:spacing w:before="313" w:beforeLines="100" w:after="313" w:afterLines="100" w:line="560" w:lineRule="exact"/>
        <w:jc w:val="center"/>
        <w:textAlignment w:val="auto"/>
        <w:rPr>
          <w:rFonts w:hint="eastAsia" w:ascii="黑体" w:hAnsi="Calibri" w:eastAsia="黑体" w:cs="黑体"/>
          <w:color w:val="000000" w:themeColor="text1"/>
          <w:sz w:val="32"/>
          <w:szCs w:val="32"/>
          <w:highlight w:val="none"/>
          <w:u w:val="none"/>
          <w14:textFill>
            <w14:solidFill>
              <w14:schemeClr w14:val="tx1"/>
            </w14:solidFill>
          </w14:textFill>
        </w:rPr>
      </w:pPr>
      <w:r>
        <w:rPr>
          <w:rFonts w:hint="eastAsia" w:ascii="黑体" w:hAnsi="Calibri" w:eastAsia="黑体" w:cs="黑体"/>
          <w:color w:val="000000" w:themeColor="text1"/>
          <w:sz w:val="32"/>
          <w:szCs w:val="32"/>
          <w:highlight w:val="none"/>
          <w:u w:val="none"/>
          <w14:textFill>
            <w14:solidFill>
              <w14:schemeClr w14:val="tx1"/>
            </w14:solidFill>
          </w14:textFill>
        </w:rPr>
        <w:t xml:space="preserve">第一章 </w:t>
      </w:r>
      <w:r>
        <w:rPr>
          <w:rFonts w:hint="eastAsia" w:ascii="黑体" w:hAnsi="Calibri" w:eastAsia="黑体" w:cs="黑体"/>
          <w:color w:val="000000" w:themeColor="text1"/>
          <w:sz w:val="32"/>
          <w:szCs w:val="32"/>
          <w:highlight w:val="none"/>
          <w:u w:val="none"/>
          <w:lang w:val="en-US" w:eastAsia="zh-CN"/>
          <w14:textFill>
            <w14:solidFill>
              <w14:schemeClr w14:val="tx1"/>
            </w14:solidFill>
          </w14:textFill>
        </w:rPr>
        <w:t xml:space="preserve"> </w:t>
      </w:r>
      <w:r>
        <w:rPr>
          <w:rFonts w:hint="eastAsia" w:ascii="黑体" w:hAnsi="Calibri" w:eastAsia="黑体" w:cs="黑体"/>
          <w:color w:val="000000" w:themeColor="text1"/>
          <w:sz w:val="32"/>
          <w:szCs w:val="32"/>
          <w:highlight w:val="none"/>
          <w:u w:val="none"/>
          <w14:textFill>
            <w14:solidFill>
              <w14:schemeClr w14:val="tx1"/>
            </w14:solidFill>
          </w14:textFill>
        </w:rPr>
        <w:t>总</w:t>
      </w:r>
      <w:r>
        <w:rPr>
          <w:rFonts w:hint="eastAsia" w:ascii="黑体" w:hAnsi="Calibri" w:eastAsia="黑体" w:cs="黑体"/>
          <w:color w:val="000000" w:themeColor="text1"/>
          <w:sz w:val="32"/>
          <w:szCs w:val="32"/>
          <w:highlight w:val="none"/>
          <w:u w:val="none"/>
          <w:lang w:val="en-US" w:eastAsia="zh-CN"/>
          <w14:textFill>
            <w14:solidFill>
              <w14:schemeClr w14:val="tx1"/>
            </w14:solidFill>
          </w14:textFill>
        </w:rPr>
        <w:t xml:space="preserve">  </w:t>
      </w:r>
      <w:r>
        <w:rPr>
          <w:rFonts w:hint="eastAsia" w:ascii="黑体" w:hAnsi="Calibri" w:eastAsia="黑体" w:cs="黑体"/>
          <w:color w:val="000000" w:themeColor="text1"/>
          <w:sz w:val="32"/>
          <w:szCs w:val="32"/>
          <w:highlight w:val="none"/>
          <w:u w:val="none"/>
          <w14:textFill>
            <w14:solidFill>
              <w14:schemeClr w14:val="tx1"/>
            </w14:solidFill>
          </w14:textFill>
        </w:rPr>
        <w:t>则</w:t>
      </w:r>
    </w:p>
    <w:p>
      <w:pPr>
        <w:keepNext w:val="0"/>
        <w:keepLines w:val="0"/>
        <w:pageBreakBefore w:val="0"/>
        <w:widowControl w:val="0"/>
        <w:kinsoku/>
        <w:wordWrap/>
        <w:overflowPunct/>
        <w:topLinePunct w:val="0"/>
        <w:autoSpaceDE/>
        <w:autoSpaceDN/>
        <w:bidi w:val="0"/>
        <w:spacing w:line="600" w:lineRule="exact"/>
        <w:ind w:firstLine="627" w:firstLineChars="196"/>
        <w:textAlignment w:val="auto"/>
        <w:rPr>
          <w:rFonts w:ascii="仿宋_GB2312" w:hAnsi="仿宋" w:eastAsia="仿宋_GB2312" w:cs="Times New Roman"/>
          <w:color w:val="auto"/>
          <w:sz w:val="32"/>
          <w:szCs w:val="32"/>
          <w:highlight w:val="none"/>
        </w:rPr>
      </w:pPr>
      <w:r>
        <w:rPr>
          <w:rFonts w:hint="eastAsia" w:ascii="黑体" w:hAnsi="黑体" w:eastAsia="黑体" w:cs="黑体"/>
          <w:b w:val="0"/>
          <w:bCs w:val="0"/>
          <w:color w:val="auto"/>
          <w:sz w:val="32"/>
          <w:szCs w:val="32"/>
          <w:highlight w:val="none"/>
        </w:rPr>
        <w:t>第一条</w:t>
      </w:r>
      <w:r>
        <w:rPr>
          <w:rFonts w:hint="eastAsia" w:ascii="仿宋_GB2312" w:hAnsi="仿宋" w:eastAsia="仿宋_GB2312" w:cs="仿宋"/>
          <w:b/>
          <w:bCs/>
          <w:color w:val="auto"/>
          <w:sz w:val="32"/>
          <w:szCs w:val="32"/>
          <w:highlight w:val="none"/>
        </w:rPr>
        <w:t xml:space="preserve"> </w:t>
      </w:r>
      <w:r>
        <w:rPr>
          <w:rFonts w:hint="eastAsia" w:ascii="仿宋_GB2312" w:hAnsi="仿宋" w:eastAsia="仿宋_GB2312" w:cs="仿宋"/>
          <w:color w:val="auto"/>
          <w:sz w:val="32"/>
          <w:szCs w:val="32"/>
          <w:highlight w:val="none"/>
        </w:rPr>
        <w:t>为加强预算绩效管理，强化支出责任，建立科学、合理的预算绩效评价管理体系，提高财政资金使用效益，</w:t>
      </w:r>
      <w:r>
        <w:rPr>
          <w:rFonts w:hint="eastAsia" w:ascii="仿宋_GB2312" w:hAnsi="仿宋" w:eastAsia="仿宋_GB2312" w:cs="仿宋"/>
          <w:color w:val="auto"/>
          <w:kern w:val="0"/>
          <w:sz w:val="32"/>
          <w:szCs w:val="32"/>
          <w:highlight w:val="none"/>
        </w:rPr>
        <w:t>依据《中华人民共和国预算法》等法律法规和</w:t>
      </w:r>
      <w:r>
        <w:rPr>
          <w:rFonts w:hint="eastAsia" w:ascii="仿宋_GB2312" w:hAnsi="仿宋" w:eastAsia="仿宋_GB2312" w:cs="仿宋"/>
          <w:color w:val="auto"/>
          <w:kern w:val="0"/>
          <w:sz w:val="32"/>
          <w:szCs w:val="32"/>
          <w:highlight w:val="none"/>
          <w:lang w:eastAsia="zh-CN"/>
        </w:rPr>
        <w:t>《</w:t>
      </w:r>
      <w:r>
        <w:rPr>
          <w:rFonts w:hint="eastAsia" w:ascii="仿宋_GB2312" w:eastAsia="仿宋_GB2312"/>
          <w:color w:val="auto"/>
          <w:sz w:val="32"/>
          <w:szCs w:val="32"/>
          <w:highlight w:val="none"/>
        </w:rPr>
        <w:t>中共</w:t>
      </w:r>
      <w:r>
        <w:rPr>
          <w:rFonts w:hint="eastAsia" w:ascii="仿宋_GB2312" w:eastAsia="仿宋_GB2312"/>
          <w:color w:val="auto"/>
          <w:sz w:val="32"/>
          <w:szCs w:val="32"/>
          <w:highlight w:val="none"/>
          <w:lang w:eastAsia="zh-CN"/>
        </w:rPr>
        <w:t>中央</w:t>
      </w:r>
      <w:r>
        <w:rPr>
          <w:rFonts w:hint="eastAsia" w:ascii="仿宋_GB2312" w:eastAsia="仿宋_GB2312"/>
          <w:color w:val="auto"/>
          <w:sz w:val="32"/>
          <w:szCs w:val="32"/>
          <w:highlight w:val="none"/>
          <w:lang w:val="en-US" w:eastAsia="zh-CN"/>
        </w:rPr>
        <w:t xml:space="preserve"> </w:t>
      </w:r>
      <w:r>
        <w:rPr>
          <w:rFonts w:hint="eastAsia" w:ascii="仿宋_GB2312" w:eastAsia="仿宋_GB2312"/>
          <w:color w:val="auto"/>
          <w:sz w:val="32"/>
          <w:szCs w:val="32"/>
          <w:highlight w:val="none"/>
          <w:lang w:eastAsia="zh-CN"/>
        </w:rPr>
        <w:t>国务院</w:t>
      </w:r>
      <w:r>
        <w:rPr>
          <w:rFonts w:ascii="仿宋_GB2312" w:eastAsia="仿宋_GB2312"/>
          <w:color w:val="auto"/>
          <w:sz w:val="32"/>
          <w:szCs w:val="32"/>
          <w:highlight w:val="none"/>
        </w:rPr>
        <w:t>关于全面实施预算绩效管理的意见</w:t>
      </w:r>
      <w:r>
        <w:rPr>
          <w:rFonts w:hint="eastAsia" w:ascii="仿宋_GB2312" w:hAnsi="仿宋" w:eastAsia="仿宋_GB2312" w:cs="仿宋"/>
          <w:color w:val="auto"/>
          <w:kern w:val="0"/>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中</w:t>
      </w:r>
      <w:r>
        <w:rPr>
          <w:rFonts w:ascii="仿宋_GB2312" w:eastAsia="仿宋_GB2312"/>
          <w:color w:val="auto"/>
          <w:sz w:val="32"/>
          <w:szCs w:val="32"/>
          <w:highlight w:val="none"/>
        </w:rPr>
        <w:t>发</w:t>
      </w:r>
      <w:r>
        <w:rPr>
          <w:rFonts w:hint="eastAsia" w:ascii="仿宋_GB2312" w:eastAsia="仿宋_GB2312"/>
          <w:color w:val="auto"/>
          <w:sz w:val="32"/>
          <w:szCs w:val="32"/>
          <w:highlight w:val="none"/>
        </w:rPr>
        <w:t>〔</w:t>
      </w:r>
      <w:r>
        <w:rPr>
          <w:rFonts w:ascii="仿宋_GB2312" w:eastAsia="仿宋_GB2312"/>
          <w:color w:val="auto"/>
          <w:sz w:val="32"/>
          <w:szCs w:val="32"/>
          <w:highlight w:val="none"/>
        </w:rPr>
        <w:t>201</w:t>
      </w:r>
      <w:r>
        <w:rPr>
          <w:rFonts w:hint="eastAsia" w:ascii="仿宋_GB2312" w:eastAsia="仿宋_GB2312"/>
          <w:color w:val="auto"/>
          <w:sz w:val="32"/>
          <w:szCs w:val="32"/>
          <w:highlight w:val="none"/>
          <w:lang w:val="en-US" w:eastAsia="zh-CN"/>
        </w:rPr>
        <w:t>8</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34</w:t>
      </w:r>
      <w:r>
        <w:rPr>
          <w:rFonts w:hint="eastAsia" w:ascii="仿宋_GB2312" w:eastAsia="仿宋_GB2312"/>
          <w:color w:val="auto"/>
          <w:sz w:val="32"/>
          <w:szCs w:val="32"/>
          <w:highlight w:val="none"/>
        </w:rPr>
        <w:t>号）</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《中共</w:t>
      </w:r>
      <w:r>
        <w:rPr>
          <w:rFonts w:ascii="仿宋_GB2312" w:eastAsia="仿宋_GB2312"/>
          <w:color w:val="auto"/>
          <w:sz w:val="32"/>
          <w:szCs w:val="32"/>
          <w:highlight w:val="none"/>
        </w:rPr>
        <w:t>河南省委</w:t>
      </w:r>
      <w:r>
        <w:rPr>
          <w:rFonts w:hint="eastAsia" w:ascii="仿宋_GB2312" w:eastAsia="仿宋_GB2312"/>
          <w:color w:val="auto"/>
          <w:sz w:val="32"/>
          <w:szCs w:val="32"/>
          <w:highlight w:val="none"/>
          <w:lang w:val="en-US" w:eastAsia="zh-CN"/>
        </w:rPr>
        <w:t xml:space="preserve"> </w:t>
      </w:r>
      <w:r>
        <w:rPr>
          <w:rFonts w:hint="eastAsia" w:ascii="仿宋_GB2312" w:eastAsia="仿宋_GB2312"/>
          <w:color w:val="auto"/>
          <w:sz w:val="32"/>
          <w:szCs w:val="32"/>
          <w:highlight w:val="none"/>
        </w:rPr>
        <w:t>河南省人民</w:t>
      </w:r>
      <w:r>
        <w:rPr>
          <w:rFonts w:ascii="仿宋_GB2312" w:eastAsia="仿宋_GB2312"/>
          <w:color w:val="auto"/>
          <w:sz w:val="32"/>
          <w:szCs w:val="32"/>
          <w:highlight w:val="none"/>
        </w:rPr>
        <w:t>政府关于全面实施预算绩效管理的实施意见</w:t>
      </w:r>
      <w:r>
        <w:rPr>
          <w:rFonts w:hint="eastAsia" w:ascii="仿宋_GB2312" w:eastAsia="仿宋_GB2312"/>
          <w:color w:val="auto"/>
          <w:sz w:val="32"/>
          <w:szCs w:val="32"/>
          <w:highlight w:val="none"/>
        </w:rPr>
        <w:t>》（豫</w:t>
      </w:r>
      <w:r>
        <w:rPr>
          <w:rFonts w:ascii="仿宋_GB2312" w:eastAsia="仿宋_GB2312"/>
          <w:color w:val="auto"/>
          <w:sz w:val="32"/>
          <w:szCs w:val="32"/>
          <w:highlight w:val="none"/>
        </w:rPr>
        <w:t>发</w:t>
      </w:r>
      <w:r>
        <w:rPr>
          <w:rFonts w:hint="eastAsia" w:ascii="仿宋_GB2312" w:eastAsia="仿宋_GB2312"/>
          <w:color w:val="auto"/>
          <w:sz w:val="32"/>
          <w:szCs w:val="32"/>
          <w:highlight w:val="none"/>
        </w:rPr>
        <w:t>〔</w:t>
      </w:r>
      <w:r>
        <w:rPr>
          <w:rFonts w:ascii="仿宋_GB2312" w:eastAsia="仿宋_GB2312"/>
          <w:color w:val="auto"/>
          <w:sz w:val="32"/>
          <w:szCs w:val="32"/>
          <w:highlight w:val="none"/>
        </w:rPr>
        <w:t>2019</w:t>
      </w:r>
      <w:r>
        <w:rPr>
          <w:rFonts w:hint="eastAsia" w:ascii="仿宋_GB2312" w:eastAsia="仿宋_GB2312"/>
          <w:color w:val="auto"/>
          <w:sz w:val="32"/>
          <w:szCs w:val="32"/>
          <w:highlight w:val="none"/>
        </w:rPr>
        <w:t>〕</w:t>
      </w:r>
      <w:r>
        <w:rPr>
          <w:rFonts w:ascii="仿宋_GB2312" w:eastAsia="仿宋_GB2312"/>
          <w:color w:val="auto"/>
          <w:sz w:val="32"/>
          <w:szCs w:val="32"/>
          <w:highlight w:val="none"/>
        </w:rPr>
        <w:t>10</w:t>
      </w:r>
      <w:r>
        <w:rPr>
          <w:rFonts w:hint="eastAsia" w:ascii="仿宋_GB2312" w:eastAsia="仿宋_GB2312"/>
          <w:color w:val="auto"/>
          <w:sz w:val="32"/>
          <w:szCs w:val="32"/>
          <w:highlight w:val="none"/>
        </w:rPr>
        <w:t>号）等</w:t>
      </w:r>
      <w:r>
        <w:rPr>
          <w:rFonts w:hint="eastAsia" w:ascii="仿宋_GB2312" w:hAnsi="仿宋" w:eastAsia="仿宋_GB2312" w:cs="仿宋"/>
          <w:color w:val="auto"/>
          <w:kern w:val="0"/>
          <w:sz w:val="32"/>
          <w:szCs w:val="32"/>
          <w:highlight w:val="none"/>
        </w:rPr>
        <w:t>有关规定，</w:t>
      </w:r>
      <w:r>
        <w:rPr>
          <w:rFonts w:hint="eastAsia" w:ascii="仿宋_GB2312" w:hAnsi="仿宋" w:eastAsia="仿宋_GB2312" w:cs="仿宋"/>
          <w:color w:val="auto"/>
          <w:kern w:val="0"/>
          <w:sz w:val="32"/>
          <w:szCs w:val="32"/>
          <w:highlight w:val="none"/>
          <w:lang w:eastAsia="zh-CN"/>
        </w:rPr>
        <w:t>参照《河南省省级预算绩效评价管理办法》</w:t>
      </w:r>
      <w:r>
        <w:rPr>
          <w:rFonts w:hint="eastAsia" w:ascii="仿宋_GB2312" w:hAnsi="仿宋" w:eastAsia="仿宋_GB2312" w:cs="仿宋"/>
          <w:color w:val="000000" w:themeColor="text1"/>
          <w:kern w:val="0"/>
          <w:sz w:val="32"/>
          <w:szCs w:val="32"/>
          <w:lang w:eastAsia="zh-CN"/>
          <w14:textFill>
            <w14:solidFill>
              <w14:schemeClr w14:val="tx1"/>
            </w14:solidFill>
          </w14:textFill>
        </w:rPr>
        <w:t>（豫财预</w:t>
      </w:r>
      <w:r>
        <w:rPr>
          <w:rFonts w:hint="eastAsia" w:ascii="仿宋_GB2312" w:eastAsia="仿宋_GB2312"/>
          <w:color w:val="000000" w:themeColor="text1"/>
          <w:sz w:val="32"/>
          <w:szCs w:val="32"/>
          <w14:textFill>
            <w14:solidFill>
              <w14:schemeClr w14:val="tx1"/>
            </w14:solidFill>
          </w14:textFill>
        </w:rPr>
        <w:t>〔</w:t>
      </w:r>
      <w:r>
        <w:rPr>
          <w:rFonts w:ascii="仿宋_GB2312" w:eastAsia="仿宋_GB2312"/>
          <w:color w:val="000000" w:themeColor="text1"/>
          <w:sz w:val="32"/>
          <w:szCs w:val="32"/>
          <w14:textFill>
            <w14:solidFill>
              <w14:schemeClr w14:val="tx1"/>
            </w14:solidFill>
          </w14:textFill>
        </w:rPr>
        <w:t>2019</w:t>
      </w:r>
      <w:r>
        <w:rPr>
          <w:rFonts w:hint="eastAsia" w:ascii="仿宋_GB2312" w:eastAsia="仿宋_GB2312"/>
          <w:color w:val="000000" w:themeColor="text1"/>
          <w:sz w:val="32"/>
          <w:szCs w:val="32"/>
          <w14:textFill>
            <w14:solidFill>
              <w14:schemeClr w14:val="tx1"/>
            </w14:solidFill>
          </w14:textFill>
        </w:rPr>
        <w:t>〕</w:t>
      </w:r>
      <w:r>
        <w:rPr>
          <w:rFonts w:hint="eastAsia" w:ascii="仿宋_GB2312" w:hAnsi="仿宋" w:eastAsia="仿宋_GB2312" w:cs="仿宋"/>
          <w:color w:val="000000" w:themeColor="text1"/>
          <w:kern w:val="0"/>
          <w:sz w:val="32"/>
          <w:szCs w:val="32"/>
          <w:lang w:eastAsia="zh-CN"/>
          <w14:textFill>
            <w14:solidFill>
              <w14:schemeClr w14:val="tx1"/>
            </w14:solidFill>
          </w14:textFill>
        </w:rPr>
        <w:t>176号）</w:t>
      </w:r>
      <w:r>
        <w:rPr>
          <w:rFonts w:hint="eastAsia" w:ascii="仿宋_GB2312" w:hAnsi="仿宋" w:eastAsia="仿宋_GB2312" w:cs="仿宋"/>
          <w:color w:val="auto"/>
          <w:kern w:val="0"/>
          <w:sz w:val="32"/>
          <w:szCs w:val="32"/>
          <w:highlight w:val="none"/>
          <w:lang w:eastAsia="zh-CN"/>
        </w:rPr>
        <w:t>及《河南省省级预算项目绩效评价管理办法》（豫财效</w:t>
      </w:r>
      <w:r>
        <w:rPr>
          <w:rFonts w:hint="eastAsia" w:ascii="仿宋_GB2312" w:eastAsia="仿宋_GB2312"/>
          <w:color w:val="000000" w:themeColor="text1"/>
          <w:sz w:val="32"/>
          <w:szCs w:val="32"/>
          <w14:textFill>
            <w14:solidFill>
              <w14:schemeClr w14:val="tx1"/>
            </w14:solidFill>
          </w14:textFill>
        </w:rPr>
        <w:t>〔</w:t>
      </w:r>
      <w:r>
        <w:rPr>
          <w:rFonts w:ascii="仿宋_GB2312" w:eastAsia="仿宋_GB2312"/>
          <w:color w:val="000000" w:themeColor="text1"/>
          <w:sz w:val="32"/>
          <w:szCs w:val="32"/>
          <w14:textFill>
            <w14:solidFill>
              <w14:schemeClr w14:val="tx1"/>
            </w14:solidFill>
          </w14:textFill>
        </w:rPr>
        <w:t>20</w:t>
      </w:r>
      <w:r>
        <w:rPr>
          <w:rFonts w:hint="eastAsia" w:ascii="仿宋_GB2312" w:eastAsia="仿宋_GB2312"/>
          <w:color w:val="000000" w:themeColor="text1"/>
          <w:sz w:val="32"/>
          <w:szCs w:val="32"/>
          <w:lang w:val="en-US" w:eastAsia="zh-CN"/>
          <w14:textFill>
            <w14:solidFill>
              <w14:schemeClr w14:val="tx1"/>
            </w14:solidFill>
          </w14:textFill>
        </w:rPr>
        <w:t>20</w:t>
      </w:r>
      <w:r>
        <w:rPr>
          <w:rFonts w:hint="eastAsia" w:ascii="仿宋_GB2312" w:eastAsia="仿宋_GB2312"/>
          <w:color w:val="000000" w:themeColor="text1"/>
          <w:sz w:val="32"/>
          <w:szCs w:val="32"/>
          <w14:textFill>
            <w14:solidFill>
              <w14:schemeClr w14:val="tx1"/>
            </w14:solidFill>
          </w14:textFill>
        </w:rPr>
        <w:t>〕</w:t>
      </w:r>
      <w:r>
        <w:rPr>
          <w:rFonts w:hint="eastAsia" w:ascii="仿宋_GB2312" w:hAnsi="仿宋" w:eastAsia="仿宋_GB2312" w:cs="仿宋"/>
          <w:color w:val="auto"/>
          <w:kern w:val="0"/>
          <w:sz w:val="32"/>
          <w:szCs w:val="32"/>
          <w:highlight w:val="none"/>
          <w:lang w:eastAsia="zh-CN"/>
        </w:rPr>
        <w:t>10号）等文件，</w:t>
      </w:r>
      <w:r>
        <w:rPr>
          <w:rFonts w:hint="eastAsia" w:ascii="仿宋_GB2312" w:hAnsi="仿宋" w:eastAsia="仿宋_GB2312" w:cs="仿宋"/>
          <w:color w:val="auto"/>
          <w:sz w:val="32"/>
          <w:szCs w:val="32"/>
          <w:highlight w:val="none"/>
        </w:rPr>
        <w:t>结合</w:t>
      </w:r>
      <w:r>
        <w:rPr>
          <w:rFonts w:hint="eastAsia" w:ascii="仿宋_GB2312" w:hAnsi="仿宋" w:eastAsia="仿宋_GB2312" w:cs="仿宋"/>
          <w:color w:val="auto"/>
          <w:sz w:val="32"/>
          <w:szCs w:val="32"/>
          <w:highlight w:val="none"/>
          <w:lang w:val="en-US" w:eastAsia="zh-CN"/>
        </w:rPr>
        <w:t>我市</w:t>
      </w:r>
      <w:r>
        <w:rPr>
          <w:rFonts w:hint="eastAsia" w:ascii="仿宋_GB2312" w:hAnsi="仿宋" w:eastAsia="仿宋_GB2312" w:cs="仿宋"/>
          <w:color w:val="auto"/>
          <w:sz w:val="32"/>
          <w:szCs w:val="32"/>
          <w:highlight w:val="none"/>
        </w:rPr>
        <w:t>实际，制定本办法。</w:t>
      </w:r>
    </w:p>
    <w:p>
      <w:pPr>
        <w:keepNext w:val="0"/>
        <w:keepLines w:val="0"/>
        <w:pageBreakBefore w:val="0"/>
        <w:widowControl w:val="0"/>
        <w:kinsoku/>
        <w:wordWrap/>
        <w:overflowPunct/>
        <w:topLinePunct w:val="0"/>
        <w:autoSpaceDE/>
        <w:autoSpaceDN/>
        <w:bidi w:val="0"/>
        <w:spacing w:line="600" w:lineRule="exact"/>
        <w:ind w:firstLine="627" w:firstLineChars="196"/>
        <w:textAlignment w:val="auto"/>
        <w:rPr>
          <w:rFonts w:ascii="仿宋_GB2312" w:hAnsi="仿宋" w:eastAsia="仿宋_GB2312" w:cs="Times New Roman"/>
          <w:color w:val="auto"/>
          <w:sz w:val="32"/>
          <w:szCs w:val="32"/>
          <w:highlight w:val="none"/>
        </w:rPr>
      </w:pPr>
      <w:r>
        <w:rPr>
          <w:rFonts w:hint="eastAsia" w:ascii="黑体" w:hAnsi="黑体" w:eastAsia="黑体" w:cs="黑体"/>
          <w:b w:val="0"/>
          <w:bCs w:val="0"/>
          <w:color w:val="auto"/>
          <w:sz w:val="32"/>
          <w:szCs w:val="32"/>
          <w:highlight w:val="none"/>
        </w:rPr>
        <w:t>第二条</w:t>
      </w:r>
      <w:r>
        <w:rPr>
          <w:rFonts w:hint="eastAsia" w:ascii="仿宋_GB2312" w:hAnsi="仿宋" w:eastAsia="仿宋_GB2312" w:cs="仿宋"/>
          <w:b/>
          <w:bCs/>
          <w:color w:val="auto"/>
          <w:sz w:val="32"/>
          <w:szCs w:val="32"/>
          <w:highlight w:val="none"/>
        </w:rPr>
        <w:t xml:space="preserve"> </w:t>
      </w:r>
      <w:r>
        <w:rPr>
          <w:rFonts w:hint="eastAsia" w:ascii="仿宋_GB2312" w:hAnsi="仿宋" w:eastAsia="仿宋_GB2312" w:cs="仿宋"/>
          <w:color w:val="auto"/>
          <w:sz w:val="32"/>
          <w:szCs w:val="32"/>
          <w:highlight w:val="none"/>
          <w:lang w:eastAsia="zh-CN"/>
        </w:rPr>
        <w:t>市级</w:t>
      </w:r>
      <w:r>
        <w:rPr>
          <w:rFonts w:hint="eastAsia" w:ascii="仿宋_GB2312" w:hAnsi="仿宋" w:eastAsia="仿宋_GB2312" w:cs="仿宋"/>
          <w:color w:val="auto"/>
          <w:sz w:val="32"/>
          <w:szCs w:val="32"/>
          <w:highlight w:val="none"/>
        </w:rPr>
        <w:t>预算绩效评价（以下简称绩效评价），是指</w:t>
      </w:r>
      <w:r>
        <w:rPr>
          <w:rFonts w:hint="eastAsia" w:ascii="仿宋_GB2312" w:hAnsi="仿宋" w:eastAsia="仿宋_GB2312" w:cs="仿宋"/>
          <w:color w:val="auto"/>
          <w:sz w:val="32"/>
          <w:szCs w:val="32"/>
          <w:highlight w:val="none"/>
          <w:lang w:eastAsia="zh-CN"/>
        </w:rPr>
        <w:t>市财政局</w:t>
      </w:r>
      <w:r>
        <w:rPr>
          <w:rFonts w:hint="eastAsia" w:ascii="仿宋_GB2312" w:hAnsi="仿宋" w:eastAsia="仿宋_GB2312" w:cs="仿宋"/>
          <w:color w:val="auto"/>
          <w:sz w:val="32"/>
          <w:szCs w:val="32"/>
          <w:highlight w:val="none"/>
        </w:rPr>
        <w:t>和</w:t>
      </w:r>
      <w:r>
        <w:rPr>
          <w:rFonts w:hint="eastAsia" w:ascii="仿宋_GB2312" w:hAnsi="仿宋" w:eastAsia="仿宋_GB2312" w:cs="仿宋"/>
          <w:color w:val="auto"/>
          <w:sz w:val="32"/>
          <w:szCs w:val="32"/>
          <w:highlight w:val="none"/>
          <w:lang w:eastAsia="zh-CN"/>
        </w:rPr>
        <w:t>市</w:t>
      </w:r>
      <w:r>
        <w:rPr>
          <w:rFonts w:hint="eastAsia" w:ascii="仿宋_GB2312" w:hAnsi="仿宋" w:eastAsia="仿宋_GB2312" w:cs="仿宋"/>
          <w:color w:val="auto"/>
          <w:sz w:val="32"/>
          <w:szCs w:val="32"/>
          <w:highlight w:val="none"/>
        </w:rPr>
        <w:t>级部门（单位）根据设定的绩效目标，运用科学、合理的绩效评价指标、评价标准和评价方法，对预算支出的经济性、效率性和效益性进行客观、公正的评价。</w:t>
      </w:r>
    </w:p>
    <w:p>
      <w:pPr>
        <w:keepNext w:val="0"/>
        <w:keepLines w:val="0"/>
        <w:pageBreakBefore w:val="0"/>
        <w:widowControl w:val="0"/>
        <w:kinsoku/>
        <w:wordWrap/>
        <w:overflowPunct/>
        <w:topLinePunct w:val="0"/>
        <w:autoSpaceDE/>
        <w:autoSpaceDN/>
        <w:bidi w:val="0"/>
        <w:spacing w:line="600" w:lineRule="exact"/>
        <w:ind w:firstLine="627" w:firstLineChars="196"/>
        <w:textAlignment w:val="auto"/>
        <w:rPr>
          <w:rFonts w:ascii="仿宋_GB2312" w:hAnsi="仿宋" w:eastAsia="仿宋_GB2312" w:cs="仿宋"/>
          <w:color w:val="auto"/>
          <w:sz w:val="32"/>
          <w:szCs w:val="32"/>
          <w:highlight w:val="none"/>
        </w:rPr>
      </w:pPr>
      <w:r>
        <w:rPr>
          <w:rFonts w:hint="eastAsia" w:ascii="黑体" w:hAnsi="黑体" w:eastAsia="黑体" w:cs="黑体"/>
          <w:b w:val="0"/>
          <w:bCs w:val="0"/>
          <w:color w:val="auto"/>
          <w:sz w:val="32"/>
          <w:szCs w:val="32"/>
          <w:highlight w:val="none"/>
        </w:rPr>
        <w:t>第三条</w:t>
      </w:r>
      <w:r>
        <w:rPr>
          <w:rFonts w:hint="eastAsia" w:ascii="仿宋_GB2312" w:hAnsi="仿宋" w:eastAsia="仿宋_GB2312" w:cs="仿宋"/>
          <w:b/>
          <w:bCs/>
          <w:color w:val="auto"/>
          <w:sz w:val="32"/>
          <w:szCs w:val="32"/>
          <w:highlight w:val="none"/>
        </w:rPr>
        <w:t xml:space="preserve"> </w:t>
      </w:r>
      <w:r>
        <w:rPr>
          <w:rFonts w:hint="eastAsia" w:ascii="仿宋_GB2312" w:hAnsi="仿宋" w:eastAsia="仿宋_GB2312" w:cs="仿宋"/>
          <w:color w:val="auto"/>
          <w:sz w:val="32"/>
          <w:szCs w:val="32"/>
          <w:highlight w:val="none"/>
          <w:lang w:eastAsia="zh-CN"/>
        </w:rPr>
        <w:t>市财政局</w:t>
      </w:r>
      <w:r>
        <w:rPr>
          <w:rFonts w:hint="eastAsia" w:ascii="仿宋_GB2312" w:hAnsi="仿宋" w:eastAsia="仿宋_GB2312" w:cs="仿宋"/>
          <w:color w:val="auto"/>
          <w:sz w:val="32"/>
          <w:szCs w:val="32"/>
          <w:highlight w:val="none"/>
        </w:rPr>
        <w:t>和</w:t>
      </w:r>
      <w:r>
        <w:rPr>
          <w:rFonts w:hint="eastAsia" w:ascii="仿宋_GB2312" w:hAnsi="仿宋" w:eastAsia="仿宋_GB2312" w:cs="仿宋"/>
          <w:color w:val="auto"/>
          <w:sz w:val="32"/>
          <w:szCs w:val="32"/>
          <w:highlight w:val="none"/>
          <w:lang w:eastAsia="zh-CN"/>
        </w:rPr>
        <w:t>市</w:t>
      </w:r>
      <w:r>
        <w:rPr>
          <w:rFonts w:hint="eastAsia" w:ascii="仿宋_GB2312" w:hAnsi="仿宋" w:eastAsia="仿宋_GB2312" w:cs="仿宋"/>
          <w:color w:val="auto"/>
          <w:sz w:val="32"/>
          <w:szCs w:val="32"/>
          <w:highlight w:val="none"/>
        </w:rPr>
        <w:t>级部门（单位）是绩效评价的主体。根据实施主体，绩效评价分为资金</w:t>
      </w:r>
      <w:r>
        <w:rPr>
          <w:rFonts w:ascii="仿宋_GB2312" w:hAnsi="仿宋" w:eastAsia="仿宋_GB2312" w:cs="仿宋"/>
          <w:color w:val="auto"/>
          <w:sz w:val="32"/>
          <w:szCs w:val="32"/>
          <w:highlight w:val="none"/>
        </w:rPr>
        <w:t>使用单位自评、</w:t>
      </w:r>
      <w:r>
        <w:rPr>
          <w:rFonts w:hint="eastAsia" w:ascii="仿宋_GB2312" w:hAnsi="仿宋" w:eastAsia="仿宋_GB2312" w:cs="仿宋"/>
          <w:color w:val="auto"/>
          <w:sz w:val="32"/>
          <w:szCs w:val="32"/>
          <w:highlight w:val="none"/>
        </w:rPr>
        <w:t>部门</w:t>
      </w:r>
      <w:r>
        <w:rPr>
          <w:rFonts w:ascii="仿宋_GB2312" w:hAnsi="仿宋" w:eastAsia="仿宋_GB2312" w:cs="仿宋"/>
          <w:color w:val="auto"/>
          <w:sz w:val="32"/>
          <w:szCs w:val="32"/>
          <w:highlight w:val="none"/>
        </w:rPr>
        <w:t>绩效评价和财政</w:t>
      </w:r>
      <w:r>
        <w:rPr>
          <w:rFonts w:hint="eastAsia" w:ascii="仿宋_GB2312" w:hAnsi="仿宋" w:eastAsia="仿宋_GB2312" w:cs="仿宋"/>
          <w:color w:val="auto"/>
          <w:sz w:val="32"/>
          <w:szCs w:val="32"/>
          <w:highlight w:val="none"/>
        </w:rPr>
        <w:t>重点</w:t>
      </w:r>
      <w:r>
        <w:rPr>
          <w:rFonts w:ascii="仿宋_GB2312" w:hAnsi="仿宋" w:eastAsia="仿宋_GB2312" w:cs="仿宋"/>
          <w:color w:val="auto"/>
          <w:sz w:val="32"/>
          <w:szCs w:val="32"/>
          <w:highlight w:val="none"/>
        </w:rPr>
        <w:t>绩效评价。</w:t>
      </w:r>
    </w:p>
    <w:p>
      <w:pPr>
        <w:keepNext w:val="0"/>
        <w:keepLines w:val="0"/>
        <w:pageBreakBefore w:val="0"/>
        <w:widowControl w:val="0"/>
        <w:kinsoku/>
        <w:wordWrap/>
        <w:overflowPunct/>
        <w:topLinePunct w:val="0"/>
        <w:autoSpaceDE/>
        <w:autoSpaceDN/>
        <w:bidi w:val="0"/>
        <w:spacing w:line="600" w:lineRule="exact"/>
        <w:ind w:firstLine="627" w:firstLineChars="196"/>
        <w:textAlignment w:val="auto"/>
        <w:rPr>
          <w:rFonts w:ascii="仿宋_GB2312" w:hAnsi="仿宋" w:eastAsia="仿宋_GB2312" w:cs="Times New Roman"/>
          <w:b/>
          <w:bCs/>
          <w:color w:val="auto"/>
          <w:sz w:val="32"/>
          <w:szCs w:val="32"/>
          <w:highlight w:val="none"/>
        </w:rPr>
      </w:pPr>
      <w:r>
        <w:rPr>
          <w:rFonts w:hint="eastAsia" w:ascii="黑体" w:hAnsi="黑体" w:eastAsia="黑体" w:cs="黑体"/>
          <w:b w:val="0"/>
          <w:bCs w:val="0"/>
          <w:color w:val="auto"/>
          <w:sz w:val="32"/>
          <w:szCs w:val="32"/>
          <w:highlight w:val="none"/>
        </w:rPr>
        <w:t>第四条</w:t>
      </w:r>
      <w:r>
        <w:rPr>
          <w:rFonts w:hint="eastAsia" w:ascii="仿宋_GB2312" w:hAnsi="仿宋" w:eastAsia="仿宋_GB2312" w:cs="仿宋"/>
          <w:b w:val="0"/>
          <w:bCs w:val="0"/>
          <w:color w:val="auto"/>
          <w:sz w:val="32"/>
          <w:szCs w:val="32"/>
          <w:highlight w:val="none"/>
        </w:rPr>
        <w:t xml:space="preserve"> 本办法适用于所有</w:t>
      </w:r>
      <w:r>
        <w:rPr>
          <w:rFonts w:hint="eastAsia" w:ascii="仿宋_GB2312" w:hAnsi="仿宋" w:eastAsia="仿宋_GB2312" w:cs="仿宋"/>
          <w:b w:val="0"/>
          <w:bCs w:val="0"/>
          <w:color w:val="auto"/>
          <w:sz w:val="32"/>
          <w:szCs w:val="32"/>
          <w:highlight w:val="none"/>
          <w:lang w:eastAsia="zh-CN"/>
        </w:rPr>
        <w:t>市</w:t>
      </w:r>
      <w:r>
        <w:rPr>
          <w:rFonts w:hint="eastAsia" w:ascii="仿宋_GB2312" w:hAnsi="仿宋" w:eastAsia="仿宋_GB2312" w:cs="仿宋"/>
          <w:b w:val="0"/>
          <w:bCs w:val="0"/>
          <w:color w:val="auto"/>
          <w:sz w:val="32"/>
          <w:szCs w:val="32"/>
          <w:highlight w:val="none"/>
        </w:rPr>
        <w:t>级预算资金安排支出的绩效评价及相关管理活动</w:t>
      </w:r>
      <w:r>
        <w:rPr>
          <w:rFonts w:hint="eastAsia" w:ascii="仿宋_GB2312" w:hAnsi="仿宋" w:eastAsia="仿宋_GB2312" w:cs="仿宋"/>
          <w:b w:val="0"/>
          <w:bCs w:val="0"/>
          <w:color w:val="auto"/>
          <w:sz w:val="32"/>
          <w:szCs w:val="32"/>
          <w:highlight w:val="none"/>
          <w:lang w:eastAsia="zh-CN"/>
        </w:rPr>
        <w:t>，包括市</w:t>
      </w:r>
      <w:r>
        <w:rPr>
          <w:rFonts w:hint="eastAsia" w:ascii="仿宋_GB2312" w:hAnsi="仿宋" w:eastAsia="仿宋_GB2312" w:cs="仿宋"/>
          <w:b w:val="0"/>
          <w:bCs w:val="0"/>
          <w:color w:val="auto"/>
          <w:sz w:val="32"/>
          <w:szCs w:val="32"/>
          <w:highlight w:val="none"/>
        </w:rPr>
        <w:t>对</w:t>
      </w:r>
      <w:r>
        <w:rPr>
          <w:rFonts w:hint="eastAsia" w:ascii="仿宋_GB2312" w:hAnsi="仿宋" w:eastAsia="仿宋_GB2312" w:cs="仿宋"/>
          <w:b w:val="0"/>
          <w:bCs w:val="0"/>
          <w:color w:val="auto"/>
          <w:sz w:val="32"/>
          <w:szCs w:val="32"/>
          <w:highlight w:val="none"/>
          <w:lang w:eastAsia="zh-CN"/>
        </w:rPr>
        <w:t>县（市、区）</w:t>
      </w:r>
      <w:r>
        <w:rPr>
          <w:rFonts w:hint="eastAsia" w:ascii="仿宋_GB2312" w:hAnsi="仿宋" w:eastAsia="仿宋_GB2312" w:cs="仿宋"/>
          <w:b w:val="0"/>
          <w:bCs w:val="0"/>
          <w:color w:val="auto"/>
          <w:sz w:val="32"/>
          <w:szCs w:val="32"/>
          <w:highlight w:val="none"/>
        </w:rPr>
        <w:t>转移支付资金</w:t>
      </w:r>
      <w:r>
        <w:rPr>
          <w:rFonts w:hint="eastAsia" w:ascii="仿宋_GB2312" w:hAnsi="仿宋" w:eastAsia="仿宋_GB2312" w:cs="仿宋"/>
          <w:b w:val="0"/>
          <w:bCs w:val="0"/>
          <w:color w:val="auto"/>
          <w:sz w:val="32"/>
          <w:szCs w:val="32"/>
          <w:highlight w:val="none"/>
          <w:lang w:eastAsia="zh-CN"/>
        </w:rPr>
        <w:t>。</w:t>
      </w:r>
      <w:r>
        <w:rPr>
          <w:rFonts w:hint="eastAsia" w:ascii="仿宋_GB2312" w:hAnsi="仿宋" w:eastAsia="仿宋_GB2312" w:cs="仿宋"/>
          <w:b w:val="0"/>
          <w:bCs w:val="0"/>
          <w:color w:val="auto"/>
          <w:sz w:val="32"/>
          <w:szCs w:val="32"/>
          <w:highlight w:val="none"/>
        </w:rPr>
        <w:t>上级</w:t>
      </w:r>
      <w:r>
        <w:rPr>
          <w:rFonts w:ascii="仿宋_GB2312" w:hAnsi="仿宋" w:eastAsia="仿宋_GB2312" w:cs="仿宋"/>
          <w:b w:val="0"/>
          <w:bCs w:val="0"/>
          <w:color w:val="auto"/>
          <w:sz w:val="32"/>
          <w:szCs w:val="32"/>
          <w:highlight w:val="none"/>
        </w:rPr>
        <w:t>转移支付资金</w:t>
      </w:r>
      <w:r>
        <w:rPr>
          <w:rFonts w:hint="eastAsia" w:ascii="仿宋_GB2312" w:hAnsi="仿宋" w:eastAsia="仿宋_GB2312" w:cs="仿宋"/>
          <w:b w:val="0"/>
          <w:bCs w:val="0"/>
          <w:color w:val="auto"/>
          <w:sz w:val="32"/>
          <w:szCs w:val="32"/>
          <w:highlight w:val="none"/>
          <w:lang w:eastAsia="zh-CN"/>
        </w:rPr>
        <w:t>及我市配套资金</w:t>
      </w:r>
      <w:r>
        <w:rPr>
          <w:rFonts w:ascii="仿宋_GB2312" w:hAnsi="仿宋" w:eastAsia="仿宋_GB2312" w:cs="仿宋"/>
          <w:b w:val="0"/>
          <w:bCs w:val="0"/>
          <w:color w:val="auto"/>
          <w:sz w:val="32"/>
          <w:szCs w:val="32"/>
          <w:highlight w:val="none"/>
        </w:rPr>
        <w:t>，如上级已有明确绩效评价办法的，从其规定。</w:t>
      </w:r>
    </w:p>
    <w:p>
      <w:pPr>
        <w:keepNext w:val="0"/>
        <w:keepLines w:val="0"/>
        <w:pageBreakBefore w:val="0"/>
        <w:widowControl w:val="0"/>
        <w:kinsoku/>
        <w:wordWrap/>
        <w:overflowPunct/>
        <w:topLinePunct w:val="0"/>
        <w:autoSpaceDE/>
        <w:autoSpaceDN/>
        <w:bidi w:val="0"/>
        <w:spacing w:line="600" w:lineRule="exact"/>
        <w:ind w:firstLine="627" w:firstLineChars="196"/>
        <w:textAlignment w:val="auto"/>
        <w:rPr>
          <w:rFonts w:ascii="仿宋_GB2312" w:hAnsi="仿宋" w:eastAsia="仿宋_GB2312" w:cs="Times New Roman"/>
          <w:color w:val="auto"/>
          <w:sz w:val="32"/>
          <w:szCs w:val="32"/>
          <w:highlight w:val="none"/>
        </w:rPr>
      </w:pPr>
      <w:r>
        <w:rPr>
          <w:rFonts w:hint="eastAsia" w:ascii="黑体" w:hAnsi="黑体" w:eastAsia="黑体" w:cs="黑体"/>
          <w:b w:val="0"/>
          <w:bCs w:val="0"/>
          <w:color w:val="auto"/>
          <w:sz w:val="32"/>
          <w:szCs w:val="32"/>
          <w:highlight w:val="none"/>
        </w:rPr>
        <w:t>第五条</w:t>
      </w:r>
      <w:r>
        <w:rPr>
          <w:rFonts w:hint="eastAsia" w:ascii="仿宋_GB2312" w:hAnsi="仿宋" w:eastAsia="仿宋_GB2312" w:cs="仿宋"/>
          <w:b/>
          <w:bCs/>
          <w:color w:val="auto"/>
          <w:sz w:val="32"/>
          <w:szCs w:val="32"/>
          <w:highlight w:val="none"/>
        </w:rPr>
        <w:t xml:space="preserve"> </w:t>
      </w:r>
      <w:r>
        <w:rPr>
          <w:rFonts w:hint="eastAsia" w:ascii="仿宋_GB2312" w:hAnsi="仿宋" w:eastAsia="仿宋_GB2312" w:cs="仿宋"/>
          <w:color w:val="auto"/>
          <w:sz w:val="32"/>
          <w:szCs w:val="32"/>
          <w:highlight w:val="none"/>
        </w:rPr>
        <w:t>绩效评价应当遵循以下基本原则：</w:t>
      </w:r>
    </w:p>
    <w:p>
      <w:pPr>
        <w:keepNext w:val="0"/>
        <w:keepLines w:val="0"/>
        <w:pageBreakBefore w:val="0"/>
        <w:widowControl w:val="0"/>
        <w:kinsoku/>
        <w:wordWrap/>
        <w:overflowPunct/>
        <w:topLinePunct w:val="0"/>
        <w:autoSpaceDE/>
        <w:autoSpaceDN/>
        <w:bidi w:val="0"/>
        <w:spacing w:line="600" w:lineRule="exact"/>
        <w:ind w:firstLine="627" w:firstLineChars="196"/>
        <w:textAlignment w:val="auto"/>
        <w:rPr>
          <w:rFonts w:hint="eastAsia" w:ascii="仿宋_GB2312" w:hAnsi="仿宋" w:eastAsia="仿宋_GB2312" w:cs="仿宋"/>
          <w:color w:val="auto"/>
          <w:sz w:val="32"/>
          <w:szCs w:val="32"/>
          <w:highlight w:val="none"/>
        </w:rPr>
      </w:pPr>
      <w:r>
        <w:rPr>
          <w:rFonts w:hint="eastAsia" w:ascii="仿宋_GB2312" w:hAnsi="仿宋" w:eastAsia="仿宋_GB2312" w:cs="仿宋"/>
          <w:color w:val="auto"/>
          <w:sz w:val="32"/>
          <w:szCs w:val="32"/>
          <w:highlight w:val="none"/>
        </w:rPr>
        <w:t>（一）科学公正。绩效评价应当运用科学合理的方法，按照规范的程序，对项目绩效进行客观、公正的反映。</w:t>
      </w:r>
    </w:p>
    <w:p>
      <w:pPr>
        <w:keepNext w:val="0"/>
        <w:keepLines w:val="0"/>
        <w:pageBreakBefore w:val="0"/>
        <w:widowControl w:val="0"/>
        <w:kinsoku/>
        <w:wordWrap/>
        <w:overflowPunct/>
        <w:topLinePunct w:val="0"/>
        <w:autoSpaceDE/>
        <w:autoSpaceDN/>
        <w:bidi w:val="0"/>
        <w:spacing w:line="600" w:lineRule="exact"/>
        <w:ind w:firstLine="627" w:firstLineChars="196"/>
        <w:textAlignment w:val="auto"/>
        <w:rPr>
          <w:rFonts w:hint="eastAsia" w:ascii="仿宋_GB2312" w:hAnsi="仿宋" w:eastAsia="仿宋_GB2312" w:cs="仿宋"/>
          <w:color w:val="auto"/>
          <w:sz w:val="32"/>
          <w:szCs w:val="32"/>
          <w:highlight w:val="none"/>
        </w:rPr>
      </w:pPr>
      <w:r>
        <w:rPr>
          <w:rFonts w:hint="eastAsia" w:ascii="仿宋_GB2312" w:hAnsi="仿宋" w:eastAsia="仿宋_GB2312" w:cs="仿宋"/>
          <w:color w:val="auto"/>
          <w:sz w:val="32"/>
          <w:szCs w:val="32"/>
          <w:highlight w:val="none"/>
        </w:rPr>
        <w:t>（二）统筹兼顾。单位自评、部门评价和财政评价应职责明确，各有侧重，相互衔接。单位自评应由</w:t>
      </w:r>
      <w:bookmarkStart w:id="0" w:name="_GoBack"/>
      <w:bookmarkEnd w:id="0"/>
      <w:r>
        <w:rPr>
          <w:rFonts w:hint="eastAsia" w:ascii="仿宋_GB2312" w:hAnsi="仿宋" w:eastAsia="仿宋_GB2312" w:cs="仿宋"/>
          <w:color w:val="auto"/>
          <w:sz w:val="32"/>
          <w:szCs w:val="32"/>
          <w:highlight w:val="none"/>
        </w:rPr>
        <w:t>单位自主实施，即“谁支出、谁自评”。部门评价和财政评价应在单位自评的基础上开展，必要时可委托第三方机构实施。</w:t>
      </w:r>
    </w:p>
    <w:p>
      <w:pPr>
        <w:keepNext w:val="0"/>
        <w:keepLines w:val="0"/>
        <w:pageBreakBefore w:val="0"/>
        <w:widowControl w:val="0"/>
        <w:kinsoku/>
        <w:wordWrap/>
        <w:overflowPunct/>
        <w:topLinePunct w:val="0"/>
        <w:autoSpaceDE/>
        <w:autoSpaceDN/>
        <w:bidi w:val="0"/>
        <w:spacing w:line="600" w:lineRule="exact"/>
        <w:ind w:firstLine="627" w:firstLineChars="196"/>
        <w:textAlignment w:val="auto"/>
        <w:rPr>
          <w:rFonts w:hint="eastAsia" w:ascii="仿宋_GB2312" w:hAnsi="仿宋" w:eastAsia="仿宋_GB2312" w:cs="仿宋"/>
          <w:color w:val="auto"/>
          <w:sz w:val="32"/>
          <w:szCs w:val="32"/>
          <w:highlight w:val="none"/>
        </w:rPr>
      </w:pPr>
      <w:r>
        <w:rPr>
          <w:rFonts w:hint="eastAsia" w:ascii="仿宋_GB2312" w:hAnsi="仿宋" w:eastAsia="仿宋_GB2312" w:cs="仿宋"/>
          <w:color w:val="auto"/>
          <w:sz w:val="32"/>
          <w:szCs w:val="32"/>
          <w:highlight w:val="none"/>
        </w:rPr>
        <w:t>（三）激励约束。绩效评价结果应与预算安排、政策调整、改进管理实质性挂钩，体现奖优罚劣和激励相容导向，有效要安排、低效要压减、无效要问责。</w:t>
      </w:r>
    </w:p>
    <w:p>
      <w:pPr>
        <w:keepNext w:val="0"/>
        <w:keepLines w:val="0"/>
        <w:pageBreakBefore w:val="0"/>
        <w:widowControl w:val="0"/>
        <w:kinsoku/>
        <w:wordWrap/>
        <w:overflowPunct/>
        <w:topLinePunct w:val="0"/>
        <w:autoSpaceDE/>
        <w:autoSpaceDN/>
        <w:bidi w:val="0"/>
        <w:spacing w:line="600" w:lineRule="exact"/>
        <w:ind w:firstLine="627" w:firstLineChars="196"/>
        <w:textAlignment w:val="auto"/>
        <w:rPr>
          <w:rFonts w:hint="eastAsia" w:ascii="仿宋_GB2312" w:hAnsi="仿宋" w:eastAsia="仿宋_GB2312" w:cs="仿宋"/>
          <w:color w:val="auto"/>
          <w:sz w:val="32"/>
          <w:szCs w:val="32"/>
          <w:highlight w:val="none"/>
        </w:rPr>
      </w:pPr>
      <w:r>
        <w:rPr>
          <w:rFonts w:hint="eastAsia" w:ascii="仿宋_GB2312" w:hAnsi="仿宋" w:eastAsia="仿宋_GB2312" w:cs="仿宋"/>
          <w:color w:val="auto"/>
          <w:sz w:val="32"/>
          <w:szCs w:val="32"/>
          <w:highlight w:val="none"/>
        </w:rPr>
        <w:t>（四）公开透明。绩效评价结果应依法依规公开，并自觉接受社会监督。</w:t>
      </w:r>
    </w:p>
    <w:p>
      <w:pPr>
        <w:keepNext w:val="0"/>
        <w:keepLines w:val="0"/>
        <w:pageBreakBefore w:val="0"/>
        <w:widowControl w:val="0"/>
        <w:kinsoku/>
        <w:wordWrap/>
        <w:overflowPunct/>
        <w:topLinePunct w:val="0"/>
        <w:autoSpaceDE/>
        <w:autoSpaceDN/>
        <w:bidi w:val="0"/>
        <w:spacing w:line="600" w:lineRule="exact"/>
        <w:ind w:firstLine="627" w:firstLineChars="196"/>
        <w:textAlignment w:val="auto"/>
        <w:rPr>
          <w:rFonts w:ascii="仿宋_GB2312" w:hAnsi="仿宋" w:eastAsia="仿宋_GB2312" w:cs="Times New Roman"/>
          <w:color w:val="auto"/>
          <w:sz w:val="32"/>
          <w:szCs w:val="32"/>
          <w:highlight w:val="none"/>
        </w:rPr>
      </w:pPr>
      <w:r>
        <w:rPr>
          <w:rFonts w:hint="eastAsia" w:ascii="黑体" w:hAnsi="黑体" w:eastAsia="黑体" w:cs="黑体"/>
          <w:b w:val="0"/>
          <w:bCs w:val="0"/>
          <w:color w:val="auto"/>
          <w:sz w:val="32"/>
          <w:szCs w:val="32"/>
          <w:highlight w:val="none"/>
        </w:rPr>
        <w:t>第六条</w:t>
      </w:r>
      <w:r>
        <w:rPr>
          <w:rFonts w:hint="eastAsia" w:ascii="仿宋_GB2312" w:hAnsi="仿宋" w:eastAsia="仿宋_GB2312" w:cs="仿宋"/>
          <w:b/>
          <w:bCs/>
          <w:color w:val="auto"/>
          <w:sz w:val="32"/>
          <w:szCs w:val="32"/>
          <w:highlight w:val="none"/>
        </w:rPr>
        <w:t xml:space="preserve"> </w:t>
      </w:r>
      <w:r>
        <w:rPr>
          <w:rFonts w:hint="eastAsia" w:ascii="仿宋_GB2312" w:hAnsi="仿宋" w:eastAsia="仿宋_GB2312" w:cs="仿宋"/>
          <w:color w:val="auto"/>
          <w:sz w:val="32"/>
          <w:szCs w:val="32"/>
          <w:highlight w:val="none"/>
        </w:rPr>
        <w:t>绩效评价的主要依据：</w:t>
      </w:r>
    </w:p>
    <w:p>
      <w:pPr>
        <w:keepNext w:val="0"/>
        <w:keepLines w:val="0"/>
        <w:pageBreakBefore w:val="0"/>
        <w:widowControl w:val="0"/>
        <w:kinsoku/>
        <w:wordWrap/>
        <w:overflowPunct/>
        <w:topLinePunct w:val="0"/>
        <w:autoSpaceDE/>
        <w:autoSpaceDN/>
        <w:bidi w:val="0"/>
        <w:spacing w:line="600" w:lineRule="exact"/>
        <w:ind w:firstLine="627" w:firstLineChars="196"/>
        <w:textAlignment w:val="auto"/>
        <w:rPr>
          <w:rFonts w:ascii="仿宋_GB2312" w:hAnsi="仿宋" w:eastAsia="仿宋_GB2312" w:cs="Times New Roman"/>
          <w:color w:val="auto"/>
          <w:sz w:val="32"/>
          <w:szCs w:val="32"/>
          <w:highlight w:val="none"/>
        </w:rPr>
      </w:pPr>
      <w:r>
        <w:rPr>
          <w:rFonts w:hint="eastAsia" w:ascii="仿宋_GB2312" w:hAnsi="仿宋" w:eastAsia="仿宋_GB2312" w:cs="仿宋"/>
          <w:color w:val="auto"/>
          <w:sz w:val="32"/>
          <w:szCs w:val="32"/>
          <w:highlight w:val="none"/>
        </w:rPr>
        <w:t>（一）相关法律、法规和规章制度；</w:t>
      </w:r>
    </w:p>
    <w:p>
      <w:pPr>
        <w:keepNext w:val="0"/>
        <w:keepLines w:val="0"/>
        <w:pageBreakBefore w:val="0"/>
        <w:widowControl w:val="0"/>
        <w:kinsoku/>
        <w:wordWrap/>
        <w:overflowPunct/>
        <w:topLinePunct w:val="0"/>
        <w:autoSpaceDE/>
        <w:autoSpaceDN/>
        <w:bidi w:val="0"/>
        <w:spacing w:line="600" w:lineRule="exact"/>
        <w:ind w:firstLine="627" w:firstLineChars="196"/>
        <w:textAlignment w:val="auto"/>
        <w:rPr>
          <w:rFonts w:ascii="仿宋_GB2312" w:hAnsi="仿宋" w:eastAsia="仿宋_GB2312" w:cs="Times New Roman"/>
          <w:color w:val="auto"/>
          <w:sz w:val="32"/>
          <w:szCs w:val="32"/>
          <w:highlight w:val="none"/>
        </w:rPr>
      </w:pPr>
      <w:r>
        <w:rPr>
          <w:rFonts w:hint="eastAsia" w:ascii="仿宋_GB2312" w:hAnsi="仿宋" w:eastAsia="仿宋_GB2312" w:cs="仿宋"/>
          <w:color w:val="auto"/>
          <w:sz w:val="32"/>
          <w:szCs w:val="32"/>
          <w:highlight w:val="none"/>
        </w:rPr>
        <w:t>（二）</w:t>
      </w:r>
      <w:r>
        <w:rPr>
          <w:rFonts w:hint="eastAsia" w:ascii="仿宋_GB2312" w:hAnsi="仿宋" w:eastAsia="仿宋_GB2312" w:cs="仿宋"/>
          <w:color w:val="auto"/>
          <w:sz w:val="32"/>
          <w:szCs w:val="32"/>
          <w:highlight w:val="none"/>
          <w:lang w:eastAsia="zh-CN"/>
        </w:rPr>
        <w:t>市</w:t>
      </w:r>
      <w:r>
        <w:rPr>
          <w:rFonts w:hint="eastAsia" w:ascii="仿宋_GB2312" w:hAnsi="仿宋" w:eastAsia="仿宋_GB2312" w:cs="仿宋"/>
          <w:color w:val="auto"/>
          <w:sz w:val="32"/>
          <w:szCs w:val="32"/>
          <w:highlight w:val="none"/>
        </w:rPr>
        <w:t>委</w:t>
      </w:r>
      <w:r>
        <w:rPr>
          <w:rFonts w:hint="eastAsia" w:ascii="仿宋_GB2312" w:hAnsi="仿宋" w:eastAsia="仿宋_GB2312" w:cs="仿宋"/>
          <w:color w:val="auto"/>
          <w:sz w:val="32"/>
          <w:szCs w:val="32"/>
          <w:highlight w:val="none"/>
          <w:lang w:eastAsia="zh-CN"/>
        </w:rPr>
        <w:t>市</w:t>
      </w:r>
      <w:r>
        <w:rPr>
          <w:rFonts w:hint="eastAsia" w:ascii="仿宋_GB2312" w:hAnsi="仿宋" w:eastAsia="仿宋_GB2312" w:cs="仿宋"/>
          <w:color w:val="auto"/>
          <w:sz w:val="32"/>
          <w:szCs w:val="32"/>
          <w:highlight w:val="none"/>
        </w:rPr>
        <w:t>政府重大决策部署、制定的国民经济与社会发展规划和方针政策；</w:t>
      </w:r>
    </w:p>
    <w:p>
      <w:pPr>
        <w:keepNext w:val="0"/>
        <w:keepLines w:val="0"/>
        <w:pageBreakBefore w:val="0"/>
        <w:widowControl w:val="0"/>
        <w:kinsoku/>
        <w:wordWrap/>
        <w:overflowPunct/>
        <w:topLinePunct w:val="0"/>
        <w:autoSpaceDE/>
        <w:autoSpaceDN/>
        <w:bidi w:val="0"/>
        <w:spacing w:line="600" w:lineRule="exact"/>
        <w:ind w:firstLine="627" w:firstLineChars="196"/>
        <w:textAlignment w:val="auto"/>
        <w:rPr>
          <w:rFonts w:ascii="仿宋_GB2312" w:hAnsi="仿宋" w:eastAsia="仿宋_GB2312" w:cs="Times New Roman"/>
          <w:color w:val="auto"/>
          <w:sz w:val="32"/>
          <w:szCs w:val="32"/>
          <w:highlight w:val="none"/>
        </w:rPr>
      </w:pPr>
      <w:r>
        <w:rPr>
          <w:rFonts w:hint="eastAsia" w:ascii="仿宋_GB2312" w:hAnsi="仿宋" w:eastAsia="仿宋_GB2312" w:cs="仿宋"/>
          <w:color w:val="auto"/>
          <w:sz w:val="32"/>
          <w:szCs w:val="32"/>
          <w:highlight w:val="none"/>
        </w:rPr>
        <w:t>（三）</w:t>
      </w:r>
      <w:r>
        <w:rPr>
          <w:rFonts w:hint="eastAsia" w:ascii="仿宋_GB2312" w:hAnsi="仿宋" w:eastAsia="仿宋_GB2312" w:cs="仿宋"/>
          <w:color w:val="auto"/>
          <w:sz w:val="32"/>
          <w:szCs w:val="32"/>
          <w:highlight w:val="none"/>
          <w:lang w:eastAsia="zh-CN"/>
        </w:rPr>
        <w:t>相关</w:t>
      </w:r>
      <w:r>
        <w:rPr>
          <w:rFonts w:hint="eastAsia" w:ascii="仿宋_GB2312" w:hAnsi="仿宋" w:eastAsia="仿宋_GB2312" w:cs="仿宋"/>
          <w:color w:val="auto"/>
          <w:sz w:val="32"/>
          <w:szCs w:val="32"/>
          <w:highlight w:val="none"/>
        </w:rPr>
        <w:t>预算管理制度、资金及财务管理办法和相关财务会计资料；</w:t>
      </w:r>
    </w:p>
    <w:p>
      <w:pPr>
        <w:keepNext w:val="0"/>
        <w:keepLines w:val="0"/>
        <w:pageBreakBefore w:val="0"/>
        <w:widowControl w:val="0"/>
        <w:kinsoku/>
        <w:wordWrap/>
        <w:overflowPunct/>
        <w:topLinePunct w:val="0"/>
        <w:autoSpaceDE/>
        <w:autoSpaceDN/>
        <w:bidi w:val="0"/>
        <w:spacing w:line="600" w:lineRule="exact"/>
        <w:ind w:firstLine="627" w:firstLineChars="196"/>
        <w:textAlignment w:val="auto"/>
        <w:rPr>
          <w:rFonts w:ascii="仿宋_GB2312" w:hAnsi="仿宋" w:eastAsia="仿宋_GB2312" w:cs="Times New Roman"/>
          <w:color w:val="auto"/>
          <w:sz w:val="32"/>
          <w:szCs w:val="32"/>
          <w:highlight w:val="none"/>
        </w:rPr>
      </w:pPr>
      <w:r>
        <w:rPr>
          <w:rFonts w:hint="eastAsia" w:ascii="仿宋_GB2312" w:hAnsi="仿宋" w:eastAsia="仿宋_GB2312" w:cs="仿宋"/>
          <w:color w:val="auto"/>
          <w:sz w:val="32"/>
          <w:szCs w:val="32"/>
          <w:highlight w:val="none"/>
        </w:rPr>
        <w:t>（四）</w:t>
      </w:r>
      <w:r>
        <w:rPr>
          <w:rFonts w:hint="eastAsia" w:ascii="仿宋_GB2312" w:hAnsi="仿宋" w:eastAsia="仿宋_GB2312" w:cs="仿宋"/>
          <w:color w:val="auto"/>
          <w:sz w:val="32"/>
          <w:szCs w:val="32"/>
          <w:highlight w:val="none"/>
          <w:lang w:eastAsia="zh-CN"/>
        </w:rPr>
        <w:t>市级</w:t>
      </w:r>
      <w:r>
        <w:rPr>
          <w:rFonts w:hint="eastAsia" w:ascii="仿宋_GB2312" w:hAnsi="仿宋" w:eastAsia="仿宋_GB2312" w:cs="仿宋"/>
          <w:color w:val="auto"/>
          <w:sz w:val="32"/>
          <w:szCs w:val="32"/>
          <w:highlight w:val="none"/>
        </w:rPr>
        <w:t>部门（单位）职能职责、中长期发展规划和年度工作计划；</w:t>
      </w:r>
    </w:p>
    <w:p>
      <w:pPr>
        <w:keepNext w:val="0"/>
        <w:keepLines w:val="0"/>
        <w:pageBreakBefore w:val="0"/>
        <w:widowControl w:val="0"/>
        <w:kinsoku/>
        <w:wordWrap/>
        <w:overflowPunct/>
        <w:topLinePunct w:val="0"/>
        <w:autoSpaceDE/>
        <w:autoSpaceDN/>
        <w:bidi w:val="0"/>
        <w:spacing w:line="600" w:lineRule="exact"/>
        <w:ind w:firstLine="627" w:firstLineChars="196"/>
        <w:textAlignment w:val="auto"/>
        <w:rPr>
          <w:rFonts w:ascii="仿宋_GB2312" w:hAnsi="仿宋" w:eastAsia="仿宋_GB2312" w:cs="Times New Roman"/>
          <w:color w:val="auto"/>
          <w:sz w:val="32"/>
          <w:szCs w:val="32"/>
          <w:highlight w:val="none"/>
        </w:rPr>
      </w:pPr>
      <w:r>
        <w:rPr>
          <w:rFonts w:hint="eastAsia" w:ascii="仿宋_GB2312" w:hAnsi="仿宋" w:eastAsia="仿宋_GB2312" w:cs="仿宋"/>
          <w:color w:val="auto"/>
          <w:sz w:val="32"/>
          <w:szCs w:val="32"/>
          <w:highlight w:val="none"/>
        </w:rPr>
        <w:t>（五）相关行业政策、行业标准及专业技术规范；</w:t>
      </w:r>
    </w:p>
    <w:p>
      <w:pPr>
        <w:keepNext w:val="0"/>
        <w:keepLines w:val="0"/>
        <w:pageBreakBefore w:val="0"/>
        <w:widowControl w:val="0"/>
        <w:kinsoku/>
        <w:wordWrap/>
        <w:overflowPunct/>
        <w:topLinePunct w:val="0"/>
        <w:autoSpaceDE/>
        <w:autoSpaceDN/>
        <w:bidi w:val="0"/>
        <w:spacing w:line="600" w:lineRule="exact"/>
        <w:ind w:firstLine="627" w:firstLineChars="196"/>
        <w:textAlignment w:val="auto"/>
        <w:rPr>
          <w:rFonts w:ascii="仿宋_GB2312" w:hAnsi="仿宋" w:eastAsia="仿宋_GB2312" w:cs="Times New Roman"/>
          <w:color w:val="auto"/>
          <w:sz w:val="32"/>
          <w:szCs w:val="32"/>
          <w:highlight w:val="none"/>
        </w:rPr>
      </w:pPr>
      <w:r>
        <w:rPr>
          <w:rFonts w:hint="eastAsia" w:ascii="仿宋_GB2312" w:hAnsi="仿宋" w:eastAsia="仿宋_GB2312" w:cs="仿宋"/>
          <w:color w:val="auto"/>
          <w:sz w:val="32"/>
          <w:szCs w:val="32"/>
          <w:highlight w:val="none"/>
        </w:rPr>
        <w:t>（六）</w:t>
      </w:r>
      <w:r>
        <w:rPr>
          <w:rFonts w:hint="eastAsia" w:ascii="仿宋_GB2312" w:hAnsi="仿宋" w:eastAsia="仿宋_GB2312" w:cs="仿宋"/>
          <w:color w:val="auto"/>
          <w:sz w:val="32"/>
          <w:szCs w:val="32"/>
          <w:highlight w:val="none"/>
          <w:lang w:eastAsia="zh-CN"/>
        </w:rPr>
        <w:t>市</w:t>
      </w:r>
      <w:r>
        <w:rPr>
          <w:rFonts w:hint="eastAsia" w:ascii="仿宋_GB2312" w:hAnsi="仿宋" w:eastAsia="仿宋_GB2312" w:cs="仿宋"/>
          <w:color w:val="auto"/>
          <w:sz w:val="32"/>
          <w:szCs w:val="32"/>
          <w:highlight w:val="none"/>
        </w:rPr>
        <w:t>级部门（单位）预算申报的绩效目标及其他相关材料、依法批复的部门预算；县</w:t>
      </w:r>
      <w:r>
        <w:rPr>
          <w:rFonts w:hint="eastAsia" w:ascii="仿宋_GB2312" w:hAnsi="仿宋" w:eastAsia="仿宋_GB2312" w:cs="仿宋"/>
          <w:color w:val="auto"/>
          <w:sz w:val="32"/>
          <w:szCs w:val="32"/>
          <w:highlight w:val="none"/>
          <w:lang w:eastAsia="zh-CN"/>
        </w:rPr>
        <w:t>级</w:t>
      </w:r>
      <w:r>
        <w:rPr>
          <w:rFonts w:hint="eastAsia" w:ascii="仿宋_GB2312" w:hAnsi="仿宋" w:eastAsia="仿宋_GB2312" w:cs="仿宋"/>
          <w:color w:val="auto"/>
          <w:sz w:val="32"/>
          <w:szCs w:val="32"/>
          <w:highlight w:val="none"/>
        </w:rPr>
        <w:t>政府申请专项转移支付资金的绩效目标及其他相关材料；</w:t>
      </w:r>
      <w:r>
        <w:rPr>
          <w:rFonts w:hint="eastAsia" w:ascii="仿宋_GB2312" w:hAnsi="仿宋" w:eastAsia="仿宋_GB2312" w:cs="仿宋"/>
          <w:color w:val="auto"/>
          <w:sz w:val="32"/>
          <w:szCs w:val="32"/>
          <w:highlight w:val="none"/>
          <w:lang w:eastAsia="zh-CN"/>
        </w:rPr>
        <w:t>市</w:t>
      </w:r>
      <w:r>
        <w:rPr>
          <w:rFonts w:hint="eastAsia" w:ascii="仿宋_GB2312" w:hAnsi="仿宋" w:eastAsia="仿宋_GB2312" w:cs="仿宋"/>
          <w:color w:val="auto"/>
          <w:sz w:val="32"/>
          <w:szCs w:val="32"/>
          <w:highlight w:val="none"/>
        </w:rPr>
        <w:t>级财政预算和部门预算年度预算执行情况，年度决算报告；</w:t>
      </w:r>
    </w:p>
    <w:p>
      <w:pPr>
        <w:keepNext w:val="0"/>
        <w:keepLines w:val="0"/>
        <w:pageBreakBefore w:val="0"/>
        <w:widowControl w:val="0"/>
        <w:kinsoku/>
        <w:wordWrap/>
        <w:overflowPunct/>
        <w:topLinePunct w:val="0"/>
        <w:autoSpaceDE/>
        <w:autoSpaceDN/>
        <w:bidi w:val="0"/>
        <w:spacing w:line="600" w:lineRule="exact"/>
        <w:ind w:firstLine="627" w:firstLineChars="196"/>
        <w:textAlignment w:val="auto"/>
        <w:rPr>
          <w:rFonts w:ascii="仿宋_GB2312" w:hAnsi="仿宋" w:eastAsia="仿宋_GB2312" w:cs="Times New Roman"/>
          <w:color w:val="auto"/>
          <w:sz w:val="32"/>
          <w:szCs w:val="32"/>
          <w:highlight w:val="none"/>
        </w:rPr>
      </w:pPr>
      <w:r>
        <w:rPr>
          <w:rFonts w:hint="eastAsia" w:ascii="仿宋_GB2312" w:hAnsi="仿宋" w:eastAsia="仿宋_GB2312" w:cs="仿宋"/>
          <w:color w:val="auto"/>
          <w:sz w:val="32"/>
          <w:szCs w:val="32"/>
          <w:highlight w:val="none"/>
        </w:rPr>
        <w:t>（七）人大审查结果报告、审计报告及决定、专项监督检查报告；</w:t>
      </w:r>
    </w:p>
    <w:p>
      <w:pPr>
        <w:keepNext w:val="0"/>
        <w:keepLines w:val="0"/>
        <w:pageBreakBefore w:val="0"/>
        <w:widowControl w:val="0"/>
        <w:kinsoku/>
        <w:wordWrap/>
        <w:overflowPunct/>
        <w:topLinePunct w:val="0"/>
        <w:autoSpaceDE/>
        <w:autoSpaceDN/>
        <w:bidi w:val="0"/>
        <w:spacing w:line="600" w:lineRule="exact"/>
        <w:ind w:firstLine="627" w:firstLineChars="196"/>
        <w:textAlignment w:val="auto"/>
        <w:rPr>
          <w:rFonts w:hint="eastAsia" w:ascii="仿宋_GB2312" w:hAnsi="仿宋" w:eastAsia="仿宋_GB2312" w:cs="仿宋"/>
          <w:color w:val="auto"/>
          <w:sz w:val="32"/>
          <w:szCs w:val="32"/>
          <w:highlight w:val="none"/>
        </w:rPr>
      </w:pPr>
      <w:r>
        <w:rPr>
          <w:rFonts w:hint="eastAsia" w:ascii="仿宋_GB2312" w:hAnsi="仿宋" w:eastAsia="仿宋_GB2312" w:cs="仿宋"/>
          <w:color w:val="auto"/>
          <w:sz w:val="32"/>
          <w:szCs w:val="32"/>
          <w:highlight w:val="none"/>
        </w:rPr>
        <w:t>（八）其他相关材料。</w:t>
      </w:r>
    </w:p>
    <w:p>
      <w:pPr>
        <w:keepNext w:val="0"/>
        <w:keepLines w:val="0"/>
        <w:pageBreakBefore w:val="0"/>
        <w:widowControl w:val="0"/>
        <w:kinsoku/>
        <w:wordWrap/>
        <w:overflowPunct/>
        <w:topLinePunct w:val="0"/>
        <w:autoSpaceDE/>
        <w:autoSpaceDN/>
        <w:bidi w:val="0"/>
        <w:spacing w:line="600" w:lineRule="exact"/>
        <w:ind w:firstLine="627" w:firstLineChars="196"/>
        <w:textAlignment w:val="auto"/>
        <w:rPr>
          <w:rFonts w:ascii="仿宋_GB2312" w:hAnsi="仿宋" w:eastAsia="仿宋_GB2312" w:cs="Times New Roman"/>
          <w:color w:val="auto"/>
          <w:sz w:val="32"/>
          <w:szCs w:val="32"/>
          <w:highlight w:val="none"/>
        </w:rPr>
      </w:pPr>
      <w:r>
        <w:rPr>
          <w:rFonts w:hint="eastAsia" w:ascii="黑体" w:hAnsi="黑体" w:eastAsia="黑体" w:cs="黑体"/>
          <w:b w:val="0"/>
          <w:bCs w:val="0"/>
          <w:color w:val="auto"/>
          <w:sz w:val="32"/>
          <w:szCs w:val="32"/>
          <w:highlight w:val="none"/>
        </w:rPr>
        <w:t>第</w:t>
      </w:r>
      <w:r>
        <w:rPr>
          <w:rFonts w:hint="eastAsia" w:ascii="黑体" w:hAnsi="黑体" w:eastAsia="黑体" w:cs="黑体"/>
          <w:b w:val="0"/>
          <w:bCs w:val="0"/>
          <w:color w:val="auto"/>
          <w:sz w:val="32"/>
          <w:szCs w:val="32"/>
          <w:highlight w:val="none"/>
          <w:lang w:eastAsia="zh-CN"/>
        </w:rPr>
        <w:t>七</w:t>
      </w:r>
      <w:r>
        <w:rPr>
          <w:rFonts w:hint="eastAsia" w:ascii="黑体" w:hAnsi="黑体" w:eastAsia="黑体" w:cs="黑体"/>
          <w:b w:val="0"/>
          <w:bCs w:val="0"/>
          <w:color w:val="auto"/>
          <w:sz w:val="32"/>
          <w:szCs w:val="32"/>
          <w:highlight w:val="none"/>
        </w:rPr>
        <w:t>条</w:t>
      </w:r>
      <w:r>
        <w:rPr>
          <w:rFonts w:hint="eastAsia" w:ascii="仿宋_GB2312" w:hAnsi="仿宋" w:eastAsia="仿宋_GB2312" w:cs="仿宋"/>
          <w:b/>
          <w:bCs/>
          <w:color w:val="auto"/>
          <w:sz w:val="32"/>
          <w:szCs w:val="32"/>
          <w:highlight w:val="none"/>
        </w:rPr>
        <w:t xml:space="preserve"> </w:t>
      </w:r>
      <w:r>
        <w:rPr>
          <w:rFonts w:hint="eastAsia" w:ascii="仿宋_GB2312" w:hAnsi="仿宋" w:eastAsia="仿宋_GB2312" w:cs="仿宋"/>
          <w:color w:val="auto"/>
          <w:sz w:val="32"/>
          <w:szCs w:val="32"/>
          <w:highlight w:val="none"/>
        </w:rPr>
        <w:t>绩效评价</w:t>
      </w:r>
      <w:r>
        <w:rPr>
          <w:rFonts w:hint="eastAsia" w:ascii="仿宋_GB2312" w:hAnsi="仿宋" w:eastAsia="仿宋_GB2312" w:cs="仿宋"/>
          <w:color w:val="auto"/>
          <w:sz w:val="32"/>
          <w:szCs w:val="32"/>
          <w:highlight w:val="none"/>
          <w:lang w:eastAsia="zh-CN"/>
        </w:rPr>
        <w:t>期限包括年度、中期及项目实施期结束后；对于实施期</w:t>
      </w:r>
      <w:r>
        <w:rPr>
          <w:rFonts w:hint="eastAsia" w:ascii="仿宋_GB2312" w:hAnsi="仿宋" w:eastAsia="仿宋_GB2312" w:cs="仿宋"/>
          <w:color w:val="auto"/>
          <w:sz w:val="32"/>
          <w:szCs w:val="32"/>
          <w:highlight w:val="none"/>
          <w:lang w:val="en-US" w:eastAsia="zh-CN"/>
        </w:rPr>
        <w:t>5年及以上的项目，应适时开展中期和实施期后绩效评价。</w:t>
      </w:r>
    </w:p>
    <w:p>
      <w:pPr>
        <w:keepNext w:val="0"/>
        <w:keepLines w:val="0"/>
        <w:pageBreakBefore w:val="0"/>
        <w:widowControl w:val="0"/>
        <w:kinsoku/>
        <w:wordWrap/>
        <w:overflowPunct/>
        <w:topLinePunct w:val="0"/>
        <w:autoSpaceDE/>
        <w:autoSpaceDN/>
        <w:bidi w:val="0"/>
        <w:adjustRightInd w:val="0"/>
        <w:snapToGrid w:val="0"/>
        <w:spacing w:before="313" w:beforeLines="100" w:after="313" w:afterLines="100" w:line="560" w:lineRule="exact"/>
        <w:jc w:val="center"/>
        <w:textAlignment w:val="auto"/>
        <w:rPr>
          <w:rFonts w:hint="eastAsia" w:ascii="黑体" w:hAnsi="Calibri" w:eastAsia="黑体" w:cs="黑体"/>
          <w:color w:val="000000" w:themeColor="text1"/>
          <w:sz w:val="32"/>
          <w:szCs w:val="32"/>
          <w:highlight w:val="none"/>
          <w:u w:val="none"/>
          <w14:textFill>
            <w14:solidFill>
              <w14:schemeClr w14:val="tx1"/>
            </w14:solidFill>
          </w14:textFill>
        </w:rPr>
      </w:pPr>
      <w:r>
        <w:rPr>
          <w:rFonts w:hint="eastAsia" w:ascii="黑体" w:hAnsi="Calibri" w:eastAsia="黑体" w:cs="黑体"/>
          <w:color w:val="000000" w:themeColor="text1"/>
          <w:sz w:val="32"/>
          <w:szCs w:val="32"/>
          <w:highlight w:val="none"/>
          <w:u w:val="none"/>
          <w14:textFill>
            <w14:solidFill>
              <w14:schemeClr w14:val="tx1"/>
            </w14:solidFill>
          </w14:textFill>
        </w:rPr>
        <w:t xml:space="preserve">第二章 </w:t>
      </w:r>
      <w:r>
        <w:rPr>
          <w:rFonts w:hint="eastAsia" w:ascii="黑体" w:hAnsi="Calibri" w:eastAsia="黑体" w:cs="黑体"/>
          <w:color w:val="000000" w:themeColor="text1"/>
          <w:sz w:val="32"/>
          <w:szCs w:val="32"/>
          <w:highlight w:val="none"/>
          <w:u w:val="none"/>
          <w:lang w:val="en-US" w:eastAsia="zh-CN"/>
          <w14:textFill>
            <w14:solidFill>
              <w14:schemeClr w14:val="tx1"/>
            </w14:solidFill>
          </w14:textFill>
        </w:rPr>
        <w:t xml:space="preserve"> </w:t>
      </w:r>
      <w:r>
        <w:rPr>
          <w:rFonts w:hint="eastAsia" w:ascii="黑体" w:hAnsi="Calibri" w:eastAsia="黑体" w:cs="黑体"/>
          <w:color w:val="000000" w:themeColor="text1"/>
          <w:sz w:val="32"/>
          <w:szCs w:val="32"/>
          <w:highlight w:val="none"/>
          <w:u w:val="none"/>
          <w14:textFill>
            <w14:solidFill>
              <w14:schemeClr w14:val="tx1"/>
            </w14:solidFill>
          </w14:textFill>
        </w:rPr>
        <w:t>绩效评价职责分工</w:t>
      </w:r>
    </w:p>
    <w:p>
      <w:pPr>
        <w:keepNext w:val="0"/>
        <w:keepLines w:val="0"/>
        <w:pageBreakBefore w:val="0"/>
        <w:widowControl w:val="0"/>
        <w:kinsoku/>
        <w:wordWrap/>
        <w:overflowPunct/>
        <w:topLinePunct w:val="0"/>
        <w:autoSpaceDE/>
        <w:autoSpaceDN/>
        <w:bidi w:val="0"/>
        <w:spacing w:line="600" w:lineRule="exact"/>
        <w:ind w:firstLine="627" w:firstLineChars="196"/>
        <w:textAlignment w:val="auto"/>
        <w:rPr>
          <w:rFonts w:ascii="仿宋_GB2312" w:hAnsi="仿宋" w:eastAsia="仿宋_GB2312" w:cs="Times New Roman"/>
          <w:color w:val="auto"/>
          <w:sz w:val="32"/>
          <w:szCs w:val="32"/>
          <w:highlight w:val="none"/>
        </w:rPr>
      </w:pPr>
      <w:r>
        <w:rPr>
          <w:rFonts w:hint="eastAsia" w:ascii="黑体" w:hAnsi="黑体" w:eastAsia="黑体" w:cs="黑体"/>
          <w:b w:val="0"/>
          <w:bCs w:val="0"/>
          <w:color w:val="auto"/>
          <w:sz w:val="32"/>
          <w:szCs w:val="32"/>
          <w:highlight w:val="none"/>
        </w:rPr>
        <w:t>第</w:t>
      </w:r>
      <w:r>
        <w:rPr>
          <w:rFonts w:hint="eastAsia" w:ascii="黑体" w:hAnsi="黑体" w:eastAsia="黑体" w:cs="黑体"/>
          <w:b w:val="0"/>
          <w:bCs w:val="0"/>
          <w:color w:val="auto"/>
          <w:sz w:val="32"/>
          <w:szCs w:val="32"/>
          <w:highlight w:val="none"/>
          <w:lang w:eastAsia="zh-CN"/>
        </w:rPr>
        <w:t>八</w:t>
      </w:r>
      <w:r>
        <w:rPr>
          <w:rFonts w:hint="eastAsia" w:ascii="黑体" w:hAnsi="黑体" w:eastAsia="黑体" w:cs="黑体"/>
          <w:b w:val="0"/>
          <w:bCs w:val="0"/>
          <w:color w:val="auto"/>
          <w:sz w:val="32"/>
          <w:szCs w:val="32"/>
          <w:highlight w:val="none"/>
        </w:rPr>
        <w:t>条</w:t>
      </w:r>
      <w:r>
        <w:rPr>
          <w:rFonts w:hint="eastAsia" w:ascii="仿宋_GB2312" w:hAnsi="仿宋" w:eastAsia="仿宋_GB2312" w:cs="仿宋"/>
          <w:color w:val="auto"/>
          <w:sz w:val="32"/>
          <w:szCs w:val="32"/>
          <w:highlight w:val="none"/>
        </w:rPr>
        <w:t xml:space="preserve"> </w:t>
      </w:r>
      <w:r>
        <w:rPr>
          <w:rFonts w:hint="eastAsia" w:ascii="仿宋_GB2312" w:hAnsi="仿宋" w:eastAsia="仿宋_GB2312" w:cs="仿宋"/>
          <w:color w:val="auto"/>
          <w:sz w:val="32"/>
          <w:szCs w:val="32"/>
          <w:highlight w:val="none"/>
          <w:lang w:eastAsia="zh-CN"/>
        </w:rPr>
        <w:t>市</w:t>
      </w:r>
      <w:r>
        <w:rPr>
          <w:rFonts w:hint="eastAsia" w:ascii="仿宋_GB2312" w:hAnsi="仿宋" w:eastAsia="仿宋_GB2312" w:cs="仿宋"/>
          <w:color w:val="auto"/>
          <w:sz w:val="32"/>
          <w:szCs w:val="32"/>
          <w:highlight w:val="none"/>
        </w:rPr>
        <w:t>财政</w:t>
      </w:r>
      <w:r>
        <w:rPr>
          <w:rFonts w:hint="eastAsia" w:ascii="仿宋_GB2312" w:hAnsi="仿宋" w:eastAsia="仿宋_GB2312" w:cs="仿宋"/>
          <w:color w:val="auto"/>
          <w:sz w:val="32"/>
          <w:szCs w:val="32"/>
          <w:highlight w:val="none"/>
          <w:lang w:eastAsia="zh-CN"/>
        </w:rPr>
        <w:t>局</w:t>
      </w:r>
      <w:r>
        <w:rPr>
          <w:rFonts w:hint="eastAsia" w:ascii="仿宋_GB2312" w:hAnsi="仿宋" w:eastAsia="仿宋_GB2312" w:cs="仿宋"/>
          <w:color w:val="auto"/>
          <w:sz w:val="32"/>
          <w:szCs w:val="32"/>
          <w:highlight w:val="none"/>
        </w:rPr>
        <w:t>负责</w:t>
      </w:r>
      <w:r>
        <w:rPr>
          <w:rFonts w:hint="eastAsia" w:ascii="仿宋_GB2312" w:hAnsi="仿宋" w:eastAsia="仿宋_GB2312" w:cs="仿宋"/>
          <w:color w:val="auto"/>
          <w:sz w:val="32"/>
          <w:szCs w:val="32"/>
          <w:highlight w:val="none"/>
          <w:lang w:eastAsia="zh-CN"/>
        </w:rPr>
        <w:t>市</w:t>
      </w:r>
      <w:r>
        <w:rPr>
          <w:rFonts w:hint="eastAsia" w:ascii="仿宋_GB2312" w:hAnsi="仿宋" w:eastAsia="仿宋_GB2312" w:cs="仿宋"/>
          <w:color w:val="auto"/>
          <w:sz w:val="32"/>
          <w:szCs w:val="32"/>
          <w:highlight w:val="none"/>
        </w:rPr>
        <w:t>级财政预算绩效评价的组织和管理，主要职责是：</w:t>
      </w:r>
    </w:p>
    <w:p>
      <w:pPr>
        <w:keepNext w:val="0"/>
        <w:keepLines w:val="0"/>
        <w:pageBreakBefore w:val="0"/>
        <w:widowControl w:val="0"/>
        <w:kinsoku/>
        <w:wordWrap/>
        <w:overflowPunct/>
        <w:topLinePunct w:val="0"/>
        <w:autoSpaceDE/>
        <w:autoSpaceDN/>
        <w:bidi w:val="0"/>
        <w:spacing w:line="600" w:lineRule="exact"/>
        <w:ind w:firstLine="627" w:firstLineChars="196"/>
        <w:textAlignment w:val="auto"/>
        <w:rPr>
          <w:rFonts w:ascii="仿宋_GB2312" w:hAnsi="仿宋" w:eastAsia="仿宋_GB2312" w:cs="Times New Roman"/>
          <w:color w:val="auto"/>
          <w:sz w:val="32"/>
          <w:szCs w:val="32"/>
          <w:highlight w:val="none"/>
        </w:rPr>
      </w:pPr>
      <w:r>
        <w:rPr>
          <w:rFonts w:hint="eastAsia" w:ascii="仿宋_GB2312" w:hAnsi="仿宋" w:eastAsia="仿宋_GB2312" w:cs="仿宋"/>
          <w:color w:val="auto"/>
          <w:sz w:val="32"/>
          <w:szCs w:val="32"/>
          <w:highlight w:val="none"/>
        </w:rPr>
        <w:t>（一）负责制定绩效评价制度和办法；</w:t>
      </w:r>
    </w:p>
    <w:p>
      <w:pPr>
        <w:keepNext w:val="0"/>
        <w:keepLines w:val="0"/>
        <w:pageBreakBefore w:val="0"/>
        <w:widowControl w:val="0"/>
        <w:kinsoku/>
        <w:wordWrap/>
        <w:overflowPunct/>
        <w:topLinePunct w:val="0"/>
        <w:autoSpaceDE/>
        <w:autoSpaceDN/>
        <w:bidi w:val="0"/>
        <w:spacing w:line="600" w:lineRule="exact"/>
        <w:ind w:firstLine="627" w:firstLineChars="196"/>
        <w:textAlignment w:val="auto"/>
        <w:rPr>
          <w:rFonts w:ascii="仿宋_GB2312" w:hAnsi="仿宋" w:eastAsia="仿宋_GB2312" w:cs="Times New Roman"/>
          <w:color w:val="auto"/>
          <w:sz w:val="32"/>
          <w:szCs w:val="32"/>
          <w:highlight w:val="none"/>
        </w:rPr>
      </w:pPr>
      <w:r>
        <w:rPr>
          <w:rFonts w:hint="eastAsia" w:ascii="仿宋_GB2312" w:hAnsi="仿宋" w:eastAsia="仿宋_GB2312" w:cs="仿宋"/>
          <w:color w:val="auto"/>
          <w:sz w:val="32"/>
          <w:szCs w:val="32"/>
          <w:highlight w:val="none"/>
        </w:rPr>
        <w:t>（二）督促</w:t>
      </w:r>
      <w:r>
        <w:rPr>
          <w:rFonts w:hint="eastAsia" w:ascii="仿宋_GB2312" w:hAnsi="仿宋" w:eastAsia="仿宋_GB2312" w:cs="仿宋"/>
          <w:color w:val="auto"/>
          <w:sz w:val="32"/>
          <w:szCs w:val="32"/>
          <w:highlight w:val="none"/>
          <w:lang w:eastAsia="zh-CN"/>
        </w:rPr>
        <w:t>市</w:t>
      </w:r>
      <w:r>
        <w:rPr>
          <w:rFonts w:hint="eastAsia" w:ascii="仿宋_GB2312" w:hAnsi="仿宋" w:eastAsia="仿宋_GB2312" w:cs="仿宋"/>
          <w:color w:val="auto"/>
          <w:sz w:val="32"/>
          <w:szCs w:val="32"/>
          <w:highlight w:val="none"/>
        </w:rPr>
        <w:t>级部门（单位）</w:t>
      </w:r>
      <w:r>
        <w:rPr>
          <w:rFonts w:hint="eastAsia" w:ascii="仿宋_GB2312" w:hAnsi="仿宋" w:eastAsia="仿宋_GB2312" w:cs="仿宋"/>
          <w:color w:val="auto"/>
          <w:sz w:val="32"/>
          <w:szCs w:val="32"/>
          <w:highlight w:val="none"/>
          <w:lang w:eastAsia="zh-CN"/>
        </w:rPr>
        <w:t>对项目资金、对下转移支付资金及部门整体资金开展单位自评和部门评价</w:t>
      </w:r>
      <w:r>
        <w:rPr>
          <w:rFonts w:hint="eastAsia" w:ascii="仿宋_GB2312" w:hAnsi="仿宋" w:eastAsia="仿宋_GB2312" w:cs="仿宋"/>
          <w:color w:val="auto"/>
          <w:sz w:val="32"/>
          <w:szCs w:val="32"/>
          <w:highlight w:val="none"/>
        </w:rPr>
        <w:t>；</w:t>
      </w:r>
    </w:p>
    <w:p>
      <w:pPr>
        <w:keepNext w:val="0"/>
        <w:keepLines w:val="0"/>
        <w:pageBreakBefore w:val="0"/>
        <w:widowControl w:val="0"/>
        <w:kinsoku/>
        <w:wordWrap/>
        <w:overflowPunct/>
        <w:topLinePunct w:val="0"/>
        <w:autoSpaceDE/>
        <w:autoSpaceDN/>
        <w:bidi w:val="0"/>
        <w:spacing w:line="600" w:lineRule="exact"/>
        <w:ind w:firstLine="627" w:firstLineChars="196"/>
        <w:textAlignment w:val="auto"/>
        <w:rPr>
          <w:rFonts w:ascii="仿宋_GB2312" w:hAnsi="仿宋" w:eastAsia="仿宋_GB2312" w:cs="Times New Roman"/>
          <w:color w:val="auto"/>
          <w:sz w:val="32"/>
          <w:szCs w:val="32"/>
          <w:highlight w:val="none"/>
        </w:rPr>
      </w:pPr>
      <w:r>
        <w:rPr>
          <w:rFonts w:hint="eastAsia" w:ascii="仿宋_GB2312" w:hAnsi="仿宋" w:eastAsia="仿宋_GB2312" w:cs="仿宋"/>
          <w:color w:val="auto"/>
          <w:sz w:val="32"/>
          <w:szCs w:val="32"/>
          <w:highlight w:val="none"/>
        </w:rPr>
        <w:t>（三）组织</w:t>
      </w:r>
      <w:r>
        <w:rPr>
          <w:rFonts w:hint="eastAsia" w:ascii="仿宋_GB2312" w:hAnsi="仿宋" w:eastAsia="仿宋_GB2312" w:cs="仿宋"/>
          <w:color w:val="auto"/>
          <w:sz w:val="32"/>
          <w:szCs w:val="32"/>
          <w:highlight w:val="none"/>
          <w:lang w:eastAsia="zh-CN"/>
        </w:rPr>
        <w:t>实施部门整体评价和重点项目财政评价工作</w:t>
      </w:r>
      <w:r>
        <w:rPr>
          <w:rFonts w:hint="eastAsia" w:ascii="仿宋_GB2312" w:hAnsi="仿宋" w:eastAsia="仿宋_GB2312" w:cs="仿宋"/>
          <w:color w:val="auto"/>
          <w:sz w:val="32"/>
          <w:szCs w:val="32"/>
          <w:highlight w:val="none"/>
        </w:rPr>
        <w:t>；</w:t>
      </w:r>
    </w:p>
    <w:p>
      <w:pPr>
        <w:keepNext w:val="0"/>
        <w:keepLines w:val="0"/>
        <w:pageBreakBefore w:val="0"/>
        <w:widowControl w:val="0"/>
        <w:kinsoku/>
        <w:wordWrap/>
        <w:overflowPunct/>
        <w:topLinePunct w:val="0"/>
        <w:autoSpaceDE/>
        <w:autoSpaceDN/>
        <w:bidi w:val="0"/>
        <w:spacing w:line="600" w:lineRule="exact"/>
        <w:ind w:firstLine="627" w:firstLineChars="196"/>
        <w:textAlignment w:val="auto"/>
        <w:rPr>
          <w:rFonts w:ascii="仿宋_GB2312" w:hAnsi="仿宋" w:eastAsia="仿宋_GB2312" w:cs="Times New Roman"/>
          <w:color w:val="auto"/>
          <w:sz w:val="32"/>
          <w:szCs w:val="32"/>
          <w:highlight w:val="none"/>
        </w:rPr>
      </w:pPr>
      <w:r>
        <w:rPr>
          <w:rFonts w:hint="eastAsia" w:ascii="仿宋_GB2312" w:hAnsi="仿宋" w:eastAsia="仿宋_GB2312" w:cs="仿宋"/>
          <w:color w:val="auto"/>
          <w:sz w:val="32"/>
          <w:szCs w:val="32"/>
          <w:highlight w:val="none"/>
        </w:rPr>
        <w:t>（四）</w:t>
      </w:r>
      <w:r>
        <w:rPr>
          <w:rFonts w:hint="eastAsia" w:ascii="仿宋_GB2312" w:hAnsi="仿宋" w:eastAsia="仿宋_GB2312" w:cs="仿宋"/>
          <w:color w:val="auto"/>
          <w:sz w:val="32"/>
          <w:szCs w:val="32"/>
          <w:highlight w:val="none"/>
          <w:lang w:eastAsia="zh-CN"/>
        </w:rPr>
        <w:t>会同有关部门对单位</w:t>
      </w:r>
      <w:r>
        <w:rPr>
          <w:rFonts w:hint="eastAsia" w:ascii="仿宋_GB2312" w:hAnsi="仿宋" w:eastAsia="仿宋_GB2312" w:cs="仿宋"/>
          <w:color w:val="auto"/>
          <w:sz w:val="32"/>
          <w:szCs w:val="32"/>
          <w:highlight w:val="none"/>
        </w:rPr>
        <w:t>自评</w:t>
      </w:r>
      <w:r>
        <w:rPr>
          <w:rFonts w:ascii="仿宋_GB2312" w:hAnsi="仿宋" w:eastAsia="仿宋_GB2312" w:cs="仿宋"/>
          <w:color w:val="auto"/>
          <w:sz w:val="32"/>
          <w:szCs w:val="32"/>
          <w:highlight w:val="none"/>
        </w:rPr>
        <w:t>和部门</w:t>
      </w:r>
      <w:r>
        <w:rPr>
          <w:rFonts w:hint="eastAsia" w:ascii="仿宋_GB2312" w:hAnsi="仿宋" w:eastAsia="仿宋_GB2312" w:cs="仿宋"/>
          <w:color w:val="auto"/>
          <w:sz w:val="32"/>
          <w:szCs w:val="32"/>
          <w:highlight w:val="none"/>
        </w:rPr>
        <w:t>评价</w:t>
      </w:r>
      <w:r>
        <w:rPr>
          <w:rFonts w:hint="eastAsia" w:ascii="仿宋_GB2312" w:hAnsi="仿宋" w:eastAsia="仿宋_GB2312" w:cs="仿宋"/>
          <w:color w:val="auto"/>
          <w:sz w:val="32"/>
          <w:szCs w:val="32"/>
          <w:highlight w:val="none"/>
          <w:lang w:eastAsia="zh-CN"/>
        </w:rPr>
        <w:t>进行审查</w:t>
      </w:r>
      <w:r>
        <w:rPr>
          <w:rFonts w:hint="eastAsia" w:ascii="仿宋_GB2312" w:hAnsi="仿宋" w:eastAsia="仿宋_GB2312" w:cs="仿宋"/>
          <w:color w:val="auto"/>
          <w:sz w:val="32"/>
          <w:szCs w:val="32"/>
          <w:highlight w:val="none"/>
        </w:rPr>
        <w:t>；</w:t>
      </w:r>
    </w:p>
    <w:p>
      <w:pPr>
        <w:keepNext w:val="0"/>
        <w:keepLines w:val="0"/>
        <w:pageBreakBefore w:val="0"/>
        <w:widowControl w:val="0"/>
        <w:kinsoku/>
        <w:wordWrap/>
        <w:overflowPunct/>
        <w:topLinePunct w:val="0"/>
        <w:autoSpaceDE/>
        <w:autoSpaceDN/>
        <w:bidi w:val="0"/>
        <w:spacing w:line="600" w:lineRule="exact"/>
        <w:ind w:firstLine="627" w:firstLineChars="196"/>
        <w:textAlignment w:val="auto"/>
        <w:rPr>
          <w:rFonts w:ascii="仿宋_GB2312" w:hAnsi="仿宋" w:eastAsia="仿宋_GB2312" w:cs="Times New Roman"/>
          <w:color w:val="auto"/>
          <w:sz w:val="32"/>
          <w:szCs w:val="32"/>
          <w:highlight w:val="none"/>
        </w:rPr>
      </w:pPr>
      <w:r>
        <w:rPr>
          <w:rFonts w:hint="eastAsia" w:ascii="仿宋_GB2312" w:hAnsi="仿宋" w:eastAsia="仿宋_GB2312" w:cs="仿宋"/>
          <w:color w:val="auto"/>
          <w:sz w:val="32"/>
          <w:szCs w:val="32"/>
          <w:highlight w:val="none"/>
        </w:rPr>
        <w:t>（五）</w:t>
      </w:r>
      <w:r>
        <w:rPr>
          <w:rFonts w:hint="eastAsia" w:ascii="仿宋_GB2312" w:hAnsi="仿宋" w:eastAsia="仿宋_GB2312" w:cs="仿宋"/>
          <w:color w:val="auto"/>
          <w:sz w:val="32"/>
          <w:szCs w:val="32"/>
          <w:highlight w:val="none"/>
          <w:lang w:eastAsia="zh-CN"/>
        </w:rPr>
        <w:t>督促预算</w:t>
      </w:r>
      <w:r>
        <w:rPr>
          <w:rFonts w:hint="eastAsia" w:ascii="仿宋_GB2312" w:hAnsi="仿宋" w:eastAsia="仿宋_GB2312" w:cs="仿宋"/>
          <w:color w:val="auto"/>
          <w:sz w:val="32"/>
          <w:szCs w:val="32"/>
          <w:highlight w:val="none"/>
        </w:rPr>
        <w:t>部门（单位）</w:t>
      </w:r>
      <w:r>
        <w:rPr>
          <w:rFonts w:hint="eastAsia" w:ascii="仿宋_GB2312" w:hAnsi="仿宋" w:eastAsia="仿宋_GB2312" w:cs="仿宋"/>
          <w:color w:val="auto"/>
          <w:sz w:val="32"/>
          <w:szCs w:val="32"/>
          <w:highlight w:val="none"/>
          <w:lang w:eastAsia="zh-CN"/>
        </w:rPr>
        <w:t>充分应用、按要求公开单位自评和部门评价结果</w:t>
      </w:r>
      <w:r>
        <w:rPr>
          <w:rFonts w:hint="eastAsia" w:ascii="仿宋_GB2312" w:hAnsi="仿宋" w:eastAsia="仿宋_GB2312" w:cs="仿宋"/>
          <w:color w:val="auto"/>
          <w:sz w:val="32"/>
          <w:szCs w:val="32"/>
          <w:highlight w:val="none"/>
        </w:rPr>
        <w:t>；</w:t>
      </w:r>
    </w:p>
    <w:p>
      <w:pPr>
        <w:keepNext w:val="0"/>
        <w:keepLines w:val="0"/>
        <w:pageBreakBefore w:val="0"/>
        <w:widowControl w:val="0"/>
        <w:kinsoku/>
        <w:wordWrap/>
        <w:overflowPunct/>
        <w:topLinePunct w:val="0"/>
        <w:autoSpaceDE/>
        <w:autoSpaceDN/>
        <w:bidi w:val="0"/>
        <w:spacing w:line="600" w:lineRule="exact"/>
        <w:ind w:firstLine="627" w:firstLineChars="196"/>
        <w:textAlignment w:val="auto"/>
        <w:rPr>
          <w:rFonts w:ascii="仿宋_GB2312" w:hAnsi="仿宋" w:eastAsia="仿宋_GB2312" w:cs="Times New Roman"/>
          <w:color w:val="auto"/>
          <w:sz w:val="32"/>
          <w:szCs w:val="32"/>
          <w:highlight w:val="none"/>
        </w:rPr>
      </w:pPr>
      <w:r>
        <w:rPr>
          <w:rFonts w:hint="eastAsia" w:ascii="仿宋_GB2312" w:hAnsi="仿宋" w:eastAsia="仿宋_GB2312" w:cs="仿宋"/>
          <w:color w:val="auto"/>
          <w:sz w:val="32"/>
          <w:szCs w:val="32"/>
          <w:highlight w:val="none"/>
        </w:rPr>
        <w:t>（六）</w:t>
      </w:r>
      <w:r>
        <w:rPr>
          <w:rFonts w:hint="eastAsia" w:ascii="仿宋_GB2312" w:hAnsi="仿宋" w:eastAsia="仿宋_GB2312" w:cs="仿宋"/>
          <w:color w:val="auto"/>
          <w:sz w:val="32"/>
          <w:szCs w:val="32"/>
          <w:highlight w:val="none"/>
          <w:lang w:eastAsia="zh-CN"/>
        </w:rPr>
        <w:t>将财政评价结果反馈部门（单位），提出整改意见</w:t>
      </w:r>
      <w:r>
        <w:rPr>
          <w:rFonts w:hint="eastAsia" w:ascii="仿宋_GB2312" w:hAnsi="仿宋" w:eastAsia="仿宋_GB2312" w:cs="仿宋"/>
          <w:color w:val="auto"/>
          <w:sz w:val="32"/>
          <w:szCs w:val="32"/>
          <w:highlight w:val="none"/>
        </w:rPr>
        <w:t>；</w:t>
      </w:r>
    </w:p>
    <w:p>
      <w:pPr>
        <w:keepNext w:val="0"/>
        <w:keepLines w:val="0"/>
        <w:pageBreakBefore w:val="0"/>
        <w:widowControl w:val="0"/>
        <w:kinsoku/>
        <w:wordWrap/>
        <w:overflowPunct/>
        <w:topLinePunct w:val="0"/>
        <w:autoSpaceDE/>
        <w:autoSpaceDN/>
        <w:bidi w:val="0"/>
        <w:spacing w:line="600" w:lineRule="exact"/>
        <w:ind w:firstLine="627" w:firstLineChars="196"/>
        <w:textAlignment w:val="auto"/>
        <w:rPr>
          <w:rFonts w:ascii="仿宋_GB2312" w:hAnsi="仿宋" w:eastAsia="仿宋_GB2312" w:cs="Times New Roman"/>
          <w:color w:val="auto"/>
          <w:sz w:val="32"/>
          <w:szCs w:val="32"/>
          <w:highlight w:val="none"/>
        </w:rPr>
      </w:pPr>
      <w:r>
        <w:rPr>
          <w:rFonts w:hint="eastAsia" w:ascii="仿宋_GB2312" w:hAnsi="仿宋" w:eastAsia="仿宋_GB2312" w:cs="仿宋"/>
          <w:color w:val="auto"/>
          <w:sz w:val="32"/>
          <w:szCs w:val="32"/>
          <w:highlight w:val="none"/>
        </w:rPr>
        <w:t>（七）</w:t>
      </w:r>
      <w:r>
        <w:rPr>
          <w:rFonts w:hint="eastAsia" w:ascii="仿宋_GB2312" w:hAnsi="仿宋" w:eastAsia="仿宋_GB2312" w:cs="仿宋"/>
          <w:color w:val="auto"/>
          <w:sz w:val="32"/>
          <w:szCs w:val="32"/>
          <w:highlight w:val="none"/>
          <w:lang w:eastAsia="zh-CN"/>
        </w:rPr>
        <w:t>加强财政评价结果应用，负责公开财政评价结果</w:t>
      </w:r>
      <w:r>
        <w:rPr>
          <w:rFonts w:hint="eastAsia" w:ascii="仿宋_GB2312" w:hAnsi="仿宋" w:eastAsia="仿宋_GB2312" w:cs="仿宋"/>
          <w:color w:val="auto"/>
          <w:sz w:val="32"/>
          <w:szCs w:val="32"/>
          <w:highlight w:val="none"/>
        </w:rPr>
        <w:t>。</w:t>
      </w:r>
    </w:p>
    <w:p>
      <w:pPr>
        <w:keepNext w:val="0"/>
        <w:keepLines w:val="0"/>
        <w:pageBreakBefore w:val="0"/>
        <w:widowControl w:val="0"/>
        <w:kinsoku/>
        <w:wordWrap/>
        <w:overflowPunct/>
        <w:topLinePunct w:val="0"/>
        <w:autoSpaceDE/>
        <w:autoSpaceDN/>
        <w:bidi w:val="0"/>
        <w:spacing w:line="600" w:lineRule="exact"/>
        <w:ind w:firstLine="627" w:firstLineChars="196"/>
        <w:textAlignment w:val="auto"/>
        <w:rPr>
          <w:rFonts w:ascii="仿宋_GB2312" w:hAnsi="仿宋" w:eastAsia="仿宋_GB2312" w:cs="Times New Roman"/>
          <w:color w:val="auto"/>
          <w:sz w:val="32"/>
          <w:szCs w:val="32"/>
          <w:highlight w:val="none"/>
        </w:rPr>
      </w:pPr>
      <w:r>
        <w:rPr>
          <w:rFonts w:hint="eastAsia" w:ascii="黑体" w:hAnsi="黑体" w:eastAsia="黑体" w:cs="黑体"/>
          <w:b w:val="0"/>
          <w:bCs w:val="0"/>
          <w:color w:val="auto"/>
          <w:sz w:val="32"/>
          <w:szCs w:val="32"/>
          <w:highlight w:val="none"/>
        </w:rPr>
        <w:t>第</w:t>
      </w:r>
      <w:r>
        <w:rPr>
          <w:rFonts w:hint="eastAsia" w:ascii="黑体" w:hAnsi="黑体" w:eastAsia="黑体" w:cs="黑体"/>
          <w:b w:val="0"/>
          <w:bCs w:val="0"/>
          <w:color w:val="auto"/>
          <w:sz w:val="32"/>
          <w:szCs w:val="32"/>
          <w:highlight w:val="none"/>
          <w:lang w:eastAsia="zh-CN"/>
        </w:rPr>
        <w:t>九</w:t>
      </w:r>
      <w:r>
        <w:rPr>
          <w:rFonts w:hint="eastAsia" w:ascii="黑体" w:hAnsi="黑体" w:eastAsia="黑体" w:cs="黑体"/>
          <w:b w:val="0"/>
          <w:bCs w:val="0"/>
          <w:color w:val="auto"/>
          <w:sz w:val="32"/>
          <w:szCs w:val="32"/>
          <w:highlight w:val="none"/>
        </w:rPr>
        <w:t>条</w:t>
      </w:r>
      <w:r>
        <w:rPr>
          <w:rFonts w:hint="eastAsia" w:ascii="仿宋_GB2312" w:hAnsi="仿宋" w:eastAsia="仿宋_GB2312" w:cs="仿宋"/>
          <w:color w:val="auto"/>
          <w:sz w:val="32"/>
          <w:szCs w:val="32"/>
          <w:highlight w:val="none"/>
        </w:rPr>
        <w:t xml:space="preserve"> </w:t>
      </w:r>
      <w:r>
        <w:rPr>
          <w:rFonts w:hint="eastAsia" w:ascii="仿宋_GB2312" w:hAnsi="仿宋" w:eastAsia="仿宋_GB2312" w:cs="仿宋"/>
          <w:color w:val="auto"/>
          <w:sz w:val="32"/>
          <w:szCs w:val="32"/>
          <w:highlight w:val="none"/>
          <w:lang w:eastAsia="zh-CN"/>
        </w:rPr>
        <w:t>市</w:t>
      </w:r>
      <w:r>
        <w:rPr>
          <w:rFonts w:hint="eastAsia" w:ascii="仿宋_GB2312" w:hAnsi="仿宋" w:eastAsia="仿宋_GB2312" w:cs="仿宋"/>
          <w:color w:val="auto"/>
          <w:sz w:val="32"/>
          <w:szCs w:val="32"/>
          <w:highlight w:val="none"/>
        </w:rPr>
        <w:t>级</w:t>
      </w:r>
      <w:r>
        <w:rPr>
          <w:rFonts w:hint="eastAsia" w:ascii="仿宋_GB2312" w:hAnsi="仿宋" w:eastAsia="仿宋_GB2312" w:cs="仿宋"/>
          <w:color w:val="auto"/>
          <w:sz w:val="32"/>
          <w:szCs w:val="32"/>
          <w:highlight w:val="none"/>
          <w:lang w:eastAsia="zh-CN"/>
        </w:rPr>
        <w:t>预算</w:t>
      </w:r>
      <w:r>
        <w:rPr>
          <w:rFonts w:hint="eastAsia" w:ascii="仿宋_GB2312" w:hAnsi="仿宋" w:eastAsia="仿宋_GB2312" w:cs="仿宋"/>
          <w:color w:val="auto"/>
          <w:sz w:val="32"/>
          <w:szCs w:val="32"/>
          <w:highlight w:val="none"/>
        </w:rPr>
        <w:t>部门负责本部门</w:t>
      </w:r>
      <w:r>
        <w:rPr>
          <w:rFonts w:hint="eastAsia" w:ascii="仿宋_GB2312" w:hAnsi="仿宋" w:eastAsia="仿宋_GB2312" w:cs="仿宋"/>
          <w:color w:val="auto"/>
          <w:sz w:val="32"/>
          <w:szCs w:val="32"/>
          <w:highlight w:val="none"/>
          <w:lang w:eastAsia="zh-CN"/>
        </w:rPr>
        <w:t>和</w:t>
      </w:r>
      <w:r>
        <w:rPr>
          <w:rFonts w:hint="eastAsia" w:ascii="仿宋_GB2312" w:hAnsi="仿宋" w:eastAsia="仿宋_GB2312" w:cs="仿宋"/>
          <w:color w:val="auto"/>
          <w:sz w:val="32"/>
          <w:szCs w:val="32"/>
          <w:highlight w:val="none"/>
        </w:rPr>
        <w:t>所属单位</w:t>
      </w:r>
      <w:r>
        <w:rPr>
          <w:rFonts w:hint="eastAsia" w:ascii="仿宋_GB2312" w:hAnsi="仿宋" w:eastAsia="仿宋_GB2312" w:cs="仿宋"/>
          <w:color w:val="auto"/>
          <w:sz w:val="32"/>
          <w:szCs w:val="32"/>
          <w:highlight w:val="none"/>
          <w:lang w:eastAsia="zh-CN"/>
        </w:rPr>
        <w:t>的部门评价、单位</w:t>
      </w:r>
      <w:r>
        <w:rPr>
          <w:rFonts w:hint="eastAsia" w:ascii="仿宋_GB2312" w:hAnsi="仿宋" w:eastAsia="仿宋_GB2312" w:cs="仿宋"/>
          <w:color w:val="auto"/>
          <w:sz w:val="32"/>
          <w:szCs w:val="32"/>
          <w:highlight w:val="none"/>
        </w:rPr>
        <w:t>自评的组织和管理。主要职责是：</w:t>
      </w:r>
    </w:p>
    <w:p>
      <w:pPr>
        <w:keepNext w:val="0"/>
        <w:keepLines w:val="0"/>
        <w:pageBreakBefore w:val="0"/>
        <w:widowControl w:val="0"/>
        <w:kinsoku/>
        <w:wordWrap/>
        <w:overflowPunct/>
        <w:topLinePunct w:val="0"/>
        <w:autoSpaceDE/>
        <w:autoSpaceDN/>
        <w:bidi w:val="0"/>
        <w:spacing w:line="600" w:lineRule="exact"/>
        <w:ind w:firstLine="627" w:firstLineChars="196"/>
        <w:textAlignment w:val="auto"/>
        <w:rPr>
          <w:rFonts w:ascii="仿宋_GB2312" w:hAnsi="仿宋" w:eastAsia="仿宋_GB2312" w:cs="Times New Roman"/>
          <w:color w:val="auto"/>
          <w:sz w:val="32"/>
          <w:szCs w:val="32"/>
          <w:highlight w:val="none"/>
        </w:rPr>
      </w:pPr>
      <w:r>
        <w:rPr>
          <w:rFonts w:hint="eastAsia" w:ascii="仿宋_GB2312" w:hAnsi="仿宋" w:eastAsia="仿宋_GB2312" w:cs="仿宋"/>
          <w:color w:val="auto"/>
          <w:sz w:val="32"/>
          <w:szCs w:val="32"/>
          <w:highlight w:val="none"/>
        </w:rPr>
        <w:t>（一）制定本部门</w:t>
      </w:r>
      <w:r>
        <w:rPr>
          <w:rFonts w:hint="eastAsia" w:ascii="仿宋_GB2312" w:hAnsi="仿宋" w:eastAsia="仿宋_GB2312" w:cs="仿宋"/>
          <w:color w:val="auto"/>
          <w:sz w:val="32"/>
          <w:szCs w:val="32"/>
          <w:highlight w:val="none"/>
          <w:lang w:eastAsia="zh-CN"/>
        </w:rPr>
        <w:t>的</w:t>
      </w:r>
      <w:r>
        <w:rPr>
          <w:rFonts w:hint="eastAsia" w:ascii="仿宋_GB2312" w:hAnsi="仿宋" w:eastAsia="仿宋_GB2312" w:cs="仿宋"/>
          <w:color w:val="auto"/>
          <w:sz w:val="32"/>
          <w:szCs w:val="32"/>
          <w:highlight w:val="none"/>
        </w:rPr>
        <w:t>绩效评价</w:t>
      </w:r>
      <w:r>
        <w:rPr>
          <w:rFonts w:hint="eastAsia" w:ascii="仿宋_GB2312" w:hAnsi="仿宋" w:eastAsia="仿宋_GB2312" w:cs="仿宋"/>
          <w:color w:val="auto"/>
          <w:sz w:val="32"/>
          <w:szCs w:val="32"/>
          <w:highlight w:val="none"/>
          <w:lang w:eastAsia="zh-CN"/>
        </w:rPr>
        <w:t>办法</w:t>
      </w:r>
      <w:r>
        <w:rPr>
          <w:rFonts w:hint="eastAsia" w:ascii="仿宋_GB2312" w:hAnsi="仿宋" w:eastAsia="仿宋_GB2312" w:cs="仿宋"/>
          <w:color w:val="auto"/>
          <w:sz w:val="32"/>
          <w:szCs w:val="32"/>
          <w:highlight w:val="none"/>
        </w:rPr>
        <w:t>；</w:t>
      </w:r>
    </w:p>
    <w:p>
      <w:pPr>
        <w:keepNext w:val="0"/>
        <w:keepLines w:val="0"/>
        <w:pageBreakBefore w:val="0"/>
        <w:widowControl w:val="0"/>
        <w:kinsoku/>
        <w:wordWrap/>
        <w:overflowPunct/>
        <w:topLinePunct w:val="0"/>
        <w:autoSpaceDE/>
        <w:autoSpaceDN/>
        <w:bidi w:val="0"/>
        <w:spacing w:line="600" w:lineRule="exact"/>
        <w:ind w:firstLine="627" w:firstLineChars="196"/>
        <w:textAlignment w:val="auto"/>
        <w:rPr>
          <w:rFonts w:ascii="仿宋_GB2312" w:hAnsi="仿宋" w:eastAsia="仿宋_GB2312" w:cs="Times New Roman"/>
          <w:color w:val="auto"/>
          <w:sz w:val="32"/>
          <w:szCs w:val="32"/>
          <w:highlight w:val="none"/>
        </w:rPr>
      </w:pPr>
      <w:r>
        <w:rPr>
          <w:rFonts w:hint="eastAsia" w:ascii="仿宋_GB2312" w:hAnsi="仿宋" w:eastAsia="仿宋_GB2312" w:cs="仿宋"/>
          <w:color w:val="auto"/>
          <w:sz w:val="32"/>
          <w:szCs w:val="32"/>
          <w:highlight w:val="none"/>
        </w:rPr>
        <w:t>（二）拟定本部门绩效评价工作计划；</w:t>
      </w:r>
    </w:p>
    <w:p>
      <w:pPr>
        <w:keepNext w:val="0"/>
        <w:keepLines w:val="0"/>
        <w:pageBreakBefore w:val="0"/>
        <w:widowControl w:val="0"/>
        <w:kinsoku/>
        <w:wordWrap/>
        <w:overflowPunct/>
        <w:topLinePunct w:val="0"/>
        <w:autoSpaceDE/>
        <w:autoSpaceDN/>
        <w:bidi w:val="0"/>
        <w:spacing w:line="600" w:lineRule="exact"/>
        <w:ind w:firstLine="627" w:firstLineChars="196"/>
        <w:textAlignment w:val="auto"/>
        <w:rPr>
          <w:rFonts w:ascii="仿宋_GB2312" w:hAnsi="仿宋" w:eastAsia="仿宋_GB2312" w:cs="Times New Roman"/>
          <w:color w:val="auto"/>
          <w:sz w:val="32"/>
          <w:szCs w:val="32"/>
          <w:highlight w:val="none"/>
        </w:rPr>
      </w:pPr>
      <w:r>
        <w:rPr>
          <w:rFonts w:hint="eastAsia" w:ascii="仿宋_GB2312" w:hAnsi="仿宋" w:eastAsia="仿宋_GB2312" w:cs="仿宋"/>
          <w:color w:val="auto"/>
          <w:sz w:val="32"/>
          <w:szCs w:val="32"/>
          <w:highlight w:val="none"/>
        </w:rPr>
        <w:t>（三）组织部门</w:t>
      </w:r>
      <w:r>
        <w:rPr>
          <w:rFonts w:hint="eastAsia" w:ascii="仿宋_GB2312" w:hAnsi="仿宋" w:eastAsia="仿宋_GB2312" w:cs="仿宋"/>
          <w:color w:val="auto"/>
          <w:sz w:val="32"/>
          <w:szCs w:val="32"/>
          <w:highlight w:val="none"/>
          <w:lang w:eastAsia="zh-CN"/>
        </w:rPr>
        <w:t>本级和所属单位开展单位自评工作，审核汇总自评结果；</w:t>
      </w:r>
    </w:p>
    <w:p>
      <w:pPr>
        <w:keepNext w:val="0"/>
        <w:keepLines w:val="0"/>
        <w:pageBreakBefore w:val="0"/>
        <w:widowControl w:val="0"/>
        <w:kinsoku/>
        <w:wordWrap/>
        <w:overflowPunct/>
        <w:topLinePunct w:val="0"/>
        <w:autoSpaceDE/>
        <w:autoSpaceDN/>
        <w:bidi w:val="0"/>
        <w:spacing w:line="600" w:lineRule="exact"/>
        <w:ind w:firstLine="627" w:firstLineChars="196"/>
        <w:textAlignment w:val="auto"/>
        <w:rPr>
          <w:rFonts w:ascii="仿宋_GB2312" w:hAnsi="仿宋" w:eastAsia="仿宋_GB2312" w:cs="Times New Roman"/>
          <w:color w:val="auto"/>
          <w:sz w:val="32"/>
          <w:szCs w:val="32"/>
          <w:highlight w:val="none"/>
        </w:rPr>
      </w:pPr>
      <w:r>
        <w:rPr>
          <w:rFonts w:hint="eastAsia" w:ascii="仿宋_GB2312" w:hAnsi="仿宋" w:eastAsia="仿宋_GB2312" w:cs="仿宋"/>
          <w:color w:val="auto"/>
          <w:sz w:val="32"/>
          <w:szCs w:val="32"/>
          <w:highlight w:val="none"/>
        </w:rPr>
        <w:t>（四）</w:t>
      </w:r>
      <w:r>
        <w:rPr>
          <w:rFonts w:hint="eastAsia" w:ascii="仿宋_GB2312" w:hAnsi="仿宋" w:eastAsia="仿宋_GB2312" w:cs="仿宋"/>
          <w:color w:val="auto"/>
          <w:sz w:val="32"/>
          <w:szCs w:val="32"/>
          <w:highlight w:val="none"/>
          <w:lang w:eastAsia="zh-CN"/>
        </w:rPr>
        <w:t>具体组织实施部门评价工作</w:t>
      </w:r>
      <w:r>
        <w:rPr>
          <w:rFonts w:hint="eastAsia" w:ascii="仿宋_GB2312" w:hAnsi="仿宋" w:eastAsia="仿宋_GB2312" w:cs="仿宋"/>
          <w:color w:val="auto"/>
          <w:sz w:val="32"/>
          <w:szCs w:val="32"/>
          <w:highlight w:val="none"/>
        </w:rPr>
        <w:t>；</w:t>
      </w:r>
    </w:p>
    <w:p>
      <w:pPr>
        <w:keepNext w:val="0"/>
        <w:keepLines w:val="0"/>
        <w:pageBreakBefore w:val="0"/>
        <w:widowControl w:val="0"/>
        <w:kinsoku/>
        <w:wordWrap/>
        <w:overflowPunct/>
        <w:topLinePunct w:val="0"/>
        <w:autoSpaceDE/>
        <w:autoSpaceDN/>
        <w:bidi w:val="0"/>
        <w:spacing w:line="600" w:lineRule="exact"/>
        <w:ind w:firstLine="627" w:firstLineChars="196"/>
        <w:textAlignment w:val="auto"/>
        <w:rPr>
          <w:rFonts w:ascii="仿宋_GB2312" w:hAnsi="仿宋" w:eastAsia="仿宋_GB2312" w:cs="Times New Roman"/>
          <w:color w:val="auto"/>
          <w:sz w:val="32"/>
          <w:szCs w:val="32"/>
          <w:highlight w:val="none"/>
        </w:rPr>
      </w:pPr>
      <w:r>
        <w:rPr>
          <w:rFonts w:hint="eastAsia" w:ascii="仿宋_GB2312" w:hAnsi="仿宋" w:eastAsia="仿宋_GB2312" w:cs="仿宋"/>
          <w:color w:val="auto"/>
          <w:sz w:val="32"/>
          <w:szCs w:val="32"/>
          <w:highlight w:val="none"/>
        </w:rPr>
        <w:t>（五）</w:t>
      </w:r>
      <w:r>
        <w:rPr>
          <w:rFonts w:hint="eastAsia" w:ascii="仿宋_GB2312" w:hAnsi="仿宋" w:eastAsia="仿宋_GB2312" w:cs="仿宋"/>
          <w:color w:val="auto"/>
          <w:sz w:val="32"/>
          <w:szCs w:val="32"/>
          <w:highlight w:val="none"/>
          <w:lang w:eastAsia="zh-CN"/>
        </w:rPr>
        <w:t>加强评价结果反馈和应用，向财政部门提交单位自评结果和部门评价报告，将单位自评和部门评价结果应用于项目管理</w:t>
      </w:r>
      <w:r>
        <w:rPr>
          <w:rFonts w:hint="eastAsia" w:ascii="仿宋_GB2312" w:hAnsi="仿宋" w:eastAsia="仿宋_GB2312" w:cs="仿宋"/>
          <w:color w:val="auto"/>
          <w:sz w:val="32"/>
          <w:szCs w:val="32"/>
          <w:highlight w:val="none"/>
        </w:rPr>
        <w:t>；</w:t>
      </w:r>
    </w:p>
    <w:p>
      <w:pPr>
        <w:keepNext w:val="0"/>
        <w:keepLines w:val="0"/>
        <w:pageBreakBefore w:val="0"/>
        <w:widowControl w:val="0"/>
        <w:kinsoku/>
        <w:wordWrap/>
        <w:overflowPunct/>
        <w:topLinePunct w:val="0"/>
        <w:autoSpaceDE/>
        <w:autoSpaceDN/>
        <w:bidi w:val="0"/>
        <w:spacing w:line="600" w:lineRule="exact"/>
        <w:ind w:firstLine="627" w:firstLineChars="196"/>
        <w:textAlignment w:val="auto"/>
        <w:rPr>
          <w:rFonts w:ascii="仿宋_GB2312" w:hAnsi="仿宋" w:eastAsia="仿宋_GB2312" w:cs="Times New Roman"/>
          <w:color w:val="auto"/>
          <w:sz w:val="32"/>
          <w:szCs w:val="32"/>
          <w:highlight w:val="none"/>
        </w:rPr>
      </w:pPr>
      <w:r>
        <w:rPr>
          <w:rFonts w:hint="eastAsia" w:ascii="仿宋_GB2312" w:hAnsi="仿宋" w:eastAsia="仿宋_GB2312" w:cs="仿宋"/>
          <w:color w:val="auto"/>
          <w:sz w:val="32"/>
          <w:szCs w:val="32"/>
          <w:highlight w:val="none"/>
        </w:rPr>
        <w:t>（六）</w:t>
      </w:r>
      <w:r>
        <w:rPr>
          <w:rFonts w:hint="eastAsia" w:ascii="仿宋_GB2312" w:hAnsi="仿宋" w:eastAsia="仿宋_GB2312" w:cs="仿宋"/>
          <w:color w:val="auto"/>
          <w:sz w:val="32"/>
          <w:szCs w:val="32"/>
          <w:highlight w:val="none"/>
          <w:lang w:eastAsia="zh-CN"/>
        </w:rPr>
        <w:t>积极配合财政评价工作，</w:t>
      </w:r>
      <w:r>
        <w:rPr>
          <w:rFonts w:hint="eastAsia" w:ascii="仿宋_GB2312" w:hAnsi="仿宋" w:eastAsia="仿宋_GB2312" w:cs="仿宋"/>
          <w:color w:val="auto"/>
          <w:sz w:val="32"/>
          <w:szCs w:val="32"/>
          <w:highlight w:val="none"/>
        </w:rPr>
        <w:t>落实</w:t>
      </w:r>
      <w:r>
        <w:rPr>
          <w:rFonts w:hint="eastAsia" w:ascii="仿宋_GB2312" w:hAnsi="仿宋" w:eastAsia="仿宋_GB2312" w:cs="仿宋"/>
          <w:color w:val="auto"/>
          <w:sz w:val="32"/>
          <w:szCs w:val="32"/>
          <w:highlight w:val="none"/>
          <w:lang w:eastAsia="zh-CN"/>
        </w:rPr>
        <w:t>评价</w:t>
      </w:r>
      <w:r>
        <w:rPr>
          <w:rFonts w:hint="eastAsia" w:ascii="仿宋_GB2312" w:hAnsi="仿宋" w:eastAsia="仿宋_GB2312" w:cs="仿宋"/>
          <w:color w:val="auto"/>
          <w:sz w:val="32"/>
          <w:szCs w:val="32"/>
          <w:highlight w:val="none"/>
        </w:rPr>
        <w:t>整改意见；</w:t>
      </w:r>
    </w:p>
    <w:p>
      <w:pPr>
        <w:keepNext w:val="0"/>
        <w:keepLines w:val="0"/>
        <w:pageBreakBefore w:val="0"/>
        <w:widowControl w:val="0"/>
        <w:kinsoku/>
        <w:wordWrap/>
        <w:overflowPunct/>
        <w:topLinePunct w:val="0"/>
        <w:autoSpaceDE/>
        <w:autoSpaceDN/>
        <w:bidi w:val="0"/>
        <w:spacing w:line="600" w:lineRule="exact"/>
        <w:ind w:firstLine="627" w:firstLineChars="196"/>
        <w:textAlignment w:val="auto"/>
        <w:rPr>
          <w:rFonts w:ascii="仿宋_GB2312" w:hAnsi="仿宋" w:eastAsia="仿宋_GB2312" w:cs="Times New Roman"/>
          <w:color w:val="auto"/>
          <w:sz w:val="32"/>
          <w:szCs w:val="32"/>
          <w:highlight w:val="none"/>
        </w:rPr>
      </w:pPr>
      <w:r>
        <w:rPr>
          <w:rFonts w:hint="eastAsia" w:ascii="仿宋_GB2312" w:hAnsi="仿宋" w:eastAsia="仿宋_GB2312" w:cs="仿宋"/>
          <w:color w:val="auto"/>
          <w:sz w:val="32"/>
          <w:szCs w:val="32"/>
          <w:highlight w:val="none"/>
        </w:rPr>
        <w:t>（七）负责公开本部门</w:t>
      </w:r>
      <w:r>
        <w:rPr>
          <w:rFonts w:hint="eastAsia" w:ascii="仿宋_GB2312" w:hAnsi="仿宋" w:eastAsia="仿宋_GB2312" w:cs="仿宋"/>
          <w:color w:val="auto"/>
          <w:sz w:val="32"/>
          <w:szCs w:val="32"/>
          <w:highlight w:val="none"/>
          <w:lang w:eastAsia="zh-CN"/>
        </w:rPr>
        <w:t>单位</w:t>
      </w:r>
      <w:r>
        <w:rPr>
          <w:rFonts w:hint="eastAsia" w:ascii="仿宋_GB2312" w:hAnsi="仿宋" w:eastAsia="仿宋_GB2312" w:cs="仿宋"/>
          <w:color w:val="auto"/>
          <w:sz w:val="32"/>
          <w:szCs w:val="32"/>
          <w:highlight w:val="none"/>
        </w:rPr>
        <w:t>自评和</w:t>
      </w:r>
      <w:r>
        <w:rPr>
          <w:rFonts w:ascii="仿宋_GB2312" w:hAnsi="仿宋" w:eastAsia="仿宋_GB2312" w:cs="仿宋"/>
          <w:color w:val="auto"/>
          <w:sz w:val="32"/>
          <w:szCs w:val="32"/>
          <w:highlight w:val="none"/>
        </w:rPr>
        <w:t>绩效评价</w:t>
      </w:r>
      <w:r>
        <w:rPr>
          <w:rFonts w:hint="eastAsia" w:ascii="仿宋_GB2312" w:hAnsi="仿宋" w:eastAsia="仿宋_GB2312" w:cs="仿宋"/>
          <w:color w:val="auto"/>
          <w:sz w:val="32"/>
          <w:szCs w:val="32"/>
          <w:highlight w:val="none"/>
        </w:rPr>
        <w:t>结果。</w:t>
      </w:r>
    </w:p>
    <w:p>
      <w:pPr>
        <w:keepNext w:val="0"/>
        <w:keepLines w:val="0"/>
        <w:pageBreakBefore w:val="0"/>
        <w:widowControl w:val="0"/>
        <w:kinsoku/>
        <w:wordWrap/>
        <w:overflowPunct/>
        <w:topLinePunct w:val="0"/>
        <w:autoSpaceDE/>
        <w:autoSpaceDN/>
        <w:bidi w:val="0"/>
        <w:spacing w:line="600" w:lineRule="exact"/>
        <w:ind w:firstLine="627" w:firstLineChars="196"/>
        <w:textAlignment w:val="auto"/>
        <w:rPr>
          <w:rFonts w:ascii="仿宋_GB2312" w:hAnsi="仿宋" w:eastAsia="仿宋_GB2312" w:cs="Times New Roman"/>
          <w:color w:val="auto"/>
          <w:sz w:val="32"/>
          <w:szCs w:val="32"/>
          <w:highlight w:val="none"/>
        </w:rPr>
      </w:pPr>
      <w:r>
        <w:rPr>
          <w:rFonts w:hint="eastAsia" w:ascii="黑体" w:hAnsi="黑体" w:eastAsia="黑体" w:cs="黑体"/>
          <w:b w:val="0"/>
          <w:bCs w:val="0"/>
          <w:color w:val="auto"/>
          <w:sz w:val="32"/>
          <w:szCs w:val="32"/>
          <w:highlight w:val="none"/>
        </w:rPr>
        <w:t>第</w:t>
      </w:r>
      <w:r>
        <w:rPr>
          <w:rFonts w:hint="eastAsia" w:ascii="黑体" w:hAnsi="黑体" w:eastAsia="黑体" w:cs="黑体"/>
          <w:b w:val="0"/>
          <w:bCs w:val="0"/>
          <w:color w:val="auto"/>
          <w:sz w:val="32"/>
          <w:szCs w:val="32"/>
          <w:highlight w:val="none"/>
          <w:lang w:eastAsia="zh-CN"/>
        </w:rPr>
        <w:t>十</w:t>
      </w:r>
      <w:r>
        <w:rPr>
          <w:rFonts w:hint="eastAsia" w:ascii="黑体" w:hAnsi="黑体" w:eastAsia="黑体" w:cs="黑体"/>
          <w:b w:val="0"/>
          <w:bCs w:val="0"/>
          <w:color w:val="auto"/>
          <w:sz w:val="32"/>
          <w:szCs w:val="32"/>
          <w:highlight w:val="none"/>
        </w:rPr>
        <w:t>条</w:t>
      </w:r>
      <w:r>
        <w:rPr>
          <w:rFonts w:hint="eastAsia" w:ascii="仿宋_GB2312" w:hAnsi="仿宋" w:eastAsia="仿宋_GB2312" w:cs="仿宋"/>
          <w:color w:val="auto"/>
          <w:sz w:val="32"/>
          <w:szCs w:val="32"/>
          <w:highlight w:val="none"/>
        </w:rPr>
        <w:t xml:space="preserve"> </w:t>
      </w:r>
      <w:r>
        <w:rPr>
          <w:rFonts w:hint="eastAsia" w:ascii="仿宋_GB2312" w:hAnsi="仿宋" w:eastAsia="仿宋_GB2312" w:cs="仿宋"/>
          <w:color w:val="auto"/>
          <w:sz w:val="32"/>
          <w:szCs w:val="32"/>
          <w:highlight w:val="none"/>
          <w:lang w:eastAsia="zh-CN"/>
        </w:rPr>
        <w:t>市级预</w:t>
      </w:r>
      <w:r>
        <w:rPr>
          <w:rFonts w:hint="eastAsia" w:ascii="仿宋_GB2312" w:hAnsi="仿宋" w:eastAsia="仿宋_GB2312" w:cs="仿宋"/>
          <w:color w:val="auto"/>
          <w:sz w:val="32"/>
          <w:szCs w:val="32"/>
          <w:highlight w:val="none"/>
        </w:rPr>
        <w:t>算单位负责本单位预算支出绩效评价工作</w:t>
      </w:r>
      <w:r>
        <w:rPr>
          <w:rFonts w:hint="eastAsia" w:ascii="仿宋_GB2312" w:hAnsi="仿宋" w:eastAsia="仿宋_GB2312" w:cs="仿宋"/>
          <w:color w:val="auto"/>
          <w:sz w:val="32"/>
          <w:szCs w:val="32"/>
          <w:highlight w:val="none"/>
          <w:lang w:eastAsia="zh-CN"/>
        </w:rPr>
        <w:t>。</w:t>
      </w:r>
      <w:r>
        <w:rPr>
          <w:rFonts w:hint="eastAsia" w:ascii="仿宋_GB2312" w:hAnsi="仿宋" w:eastAsia="仿宋_GB2312" w:cs="仿宋"/>
          <w:color w:val="auto"/>
          <w:sz w:val="32"/>
          <w:szCs w:val="32"/>
          <w:highlight w:val="none"/>
        </w:rPr>
        <w:t>主要职责是：</w:t>
      </w:r>
    </w:p>
    <w:p>
      <w:pPr>
        <w:keepNext w:val="0"/>
        <w:keepLines w:val="0"/>
        <w:pageBreakBefore w:val="0"/>
        <w:widowControl w:val="0"/>
        <w:kinsoku/>
        <w:wordWrap/>
        <w:overflowPunct/>
        <w:topLinePunct w:val="0"/>
        <w:autoSpaceDE/>
        <w:autoSpaceDN/>
        <w:bidi w:val="0"/>
        <w:spacing w:line="600" w:lineRule="exact"/>
        <w:ind w:firstLine="627" w:firstLineChars="196"/>
        <w:textAlignment w:val="auto"/>
        <w:rPr>
          <w:rFonts w:ascii="仿宋_GB2312" w:hAnsi="仿宋" w:eastAsia="仿宋_GB2312" w:cs="Times New Roman"/>
          <w:color w:val="auto"/>
          <w:sz w:val="32"/>
          <w:szCs w:val="32"/>
          <w:highlight w:val="none"/>
        </w:rPr>
      </w:pPr>
      <w:r>
        <w:rPr>
          <w:rFonts w:hint="eastAsia" w:ascii="仿宋_GB2312" w:hAnsi="仿宋" w:eastAsia="仿宋_GB2312" w:cs="仿宋"/>
          <w:color w:val="auto"/>
          <w:sz w:val="32"/>
          <w:szCs w:val="32"/>
          <w:highlight w:val="none"/>
        </w:rPr>
        <w:t>（一）拟定单位绩效自评方案；</w:t>
      </w:r>
    </w:p>
    <w:p>
      <w:pPr>
        <w:keepNext w:val="0"/>
        <w:keepLines w:val="0"/>
        <w:pageBreakBefore w:val="0"/>
        <w:widowControl w:val="0"/>
        <w:kinsoku/>
        <w:wordWrap/>
        <w:overflowPunct/>
        <w:topLinePunct w:val="0"/>
        <w:autoSpaceDE/>
        <w:autoSpaceDN/>
        <w:bidi w:val="0"/>
        <w:spacing w:line="600" w:lineRule="exact"/>
        <w:ind w:firstLine="627" w:firstLineChars="196"/>
        <w:textAlignment w:val="auto"/>
        <w:rPr>
          <w:rFonts w:ascii="仿宋_GB2312" w:hAnsi="仿宋" w:eastAsia="仿宋_GB2312" w:cs="Times New Roman"/>
          <w:color w:val="auto"/>
          <w:sz w:val="32"/>
          <w:szCs w:val="32"/>
          <w:highlight w:val="none"/>
        </w:rPr>
      </w:pPr>
      <w:r>
        <w:rPr>
          <w:rFonts w:hint="eastAsia" w:ascii="仿宋_GB2312" w:hAnsi="仿宋" w:eastAsia="仿宋_GB2312" w:cs="仿宋"/>
          <w:color w:val="auto"/>
          <w:sz w:val="32"/>
          <w:szCs w:val="32"/>
          <w:highlight w:val="none"/>
        </w:rPr>
        <w:t>（二）</w:t>
      </w:r>
      <w:r>
        <w:rPr>
          <w:rFonts w:hint="eastAsia" w:ascii="仿宋_GB2312" w:hAnsi="仿宋" w:eastAsia="仿宋_GB2312" w:cs="仿宋"/>
          <w:color w:val="auto"/>
          <w:sz w:val="32"/>
          <w:szCs w:val="32"/>
          <w:highlight w:val="none"/>
          <w:lang w:eastAsia="zh-CN"/>
        </w:rPr>
        <w:t>具体实施单位自评工作，对自评中发现的问题及时进行整改</w:t>
      </w:r>
      <w:r>
        <w:rPr>
          <w:rFonts w:hint="eastAsia" w:ascii="仿宋_GB2312" w:hAnsi="仿宋" w:eastAsia="仿宋_GB2312" w:cs="仿宋"/>
          <w:color w:val="auto"/>
          <w:sz w:val="32"/>
          <w:szCs w:val="32"/>
          <w:highlight w:val="none"/>
        </w:rPr>
        <w:t>；</w:t>
      </w:r>
    </w:p>
    <w:p>
      <w:pPr>
        <w:keepNext w:val="0"/>
        <w:keepLines w:val="0"/>
        <w:pageBreakBefore w:val="0"/>
        <w:widowControl w:val="0"/>
        <w:kinsoku/>
        <w:wordWrap/>
        <w:overflowPunct/>
        <w:topLinePunct w:val="0"/>
        <w:autoSpaceDE/>
        <w:autoSpaceDN/>
        <w:bidi w:val="0"/>
        <w:spacing w:line="600" w:lineRule="exact"/>
        <w:ind w:firstLine="627" w:firstLineChars="196"/>
        <w:textAlignment w:val="auto"/>
        <w:rPr>
          <w:rFonts w:ascii="仿宋_GB2312" w:hAnsi="仿宋" w:eastAsia="仿宋_GB2312" w:cs="Times New Roman"/>
          <w:color w:val="auto"/>
          <w:sz w:val="32"/>
          <w:szCs w:val="32"/>
          <w:highlight w:val="none"/>
        </w:rPr>
      </w:pPr>
      <w:r>
        <w:rPr>
          <w:rFonts w:hint="eastAsia" w:ascii="仿宋_GB2312" w:hAnsi="仿宋" w:eastAsia="仿宋_GB2312" w:cs="仿宋"/>
          <w:color w:val="auto"/>
          <w:sz w:val="32"/>
          <w:szCs w:val="32"/>
          <w:highlight w:val="none"/>
        </w:rPr>
        <w:t>（三）向主管部门报告本单位绩效评价工作情况，提交</w:t>
      </w:r>
      <w:r>
        <w:rPr>
          <w:rFonts w:hint="eastAsia" w:ascii="仿宋_GB2312" w:hAnsi="仿宋" w:eastAsia="仿宋_GB2312" w:cs="仿宋"/>
          <w:color w:val="auto"/>
          <w:sz w:val="32"/>
          <w:szCs w:val="32"/>
          <w:highlight w:val="none"/>
          <w:lang w:eastAsia="zh-CN"/>
        </w:rPr>
        <w:t>单位</w:t>
      </w:r>
      <w:r>
        <w:rPr>
          <w:rFonts w:hint="eastAsia" w:ascii="仿宋_GB2312" w:hAnsi="仿宋" w:eastAsia="仿宋_GB2312" w:cs="仿宋"/>
          <w:color w:val="auto"/>
          <w:sz w:val="32"/>
          <w:szCs w:val="32"/>
          <w:highlight w:val="none"/>
        </w:rPr>
        <w:t>自评</w:t>
      </w:r>
      <w:r>
        <w:rPr>
          <w:rFonts w:hint="eastAsia" w:ascii="仿宋_GB2312" w:hAnsi="仿宋" w:eastAsia="仿宋_GB2312" w:cs="仿宋"/>
          <w:color w:val="auto"/>
          <w:sz w:val="32"/>
          <w:szCs w:val="32"/>
          <w:highlight w:val="none"/>
          <w:lang w:eastAsia="zh-CN"/>
        </w:rPr>
        <w:t>结果</w:t>
      </w:r>
      <w:r>
        <w:rPr>
          <w:rFonts w:hint="eastAsia" w:ascii="仿宋_GB2312" w:hAnsi="仿宋" w:eastAsia="仿宋_GB2312" w:cs="仿宋"/>
          <w:color w:val="auto"/>
          <w:sz w:val="32"/>
          <w:szCs w:val="32"/>
          <w:highlight w:val="none"/>
        </w:rPr>
        <w:t>；</w:t>
      </w:r>
    </w:p>
    <w:p>
      <w:pPr>
        <w:keepNext w:val="0"/>
        <w:keepLines w:val="0"/>
        <w:pageBreakBefore w:val="0"/>
        <w:widowControl w:val="0"/>
        <w:kinsoku/>
        <w:wordWrap/>
        <w:overflowPunct/>
        <w:topLinePunct w:val="0"/>
        <w:autoSpaceDE/>
        <w:autoSpaceDN/>
        <w:bidi w:val="0"/>
        <w:spacing w:line="600" w:lineRule="exact"/>
        <w:ind w:firstLine="627" w:firstLineChars="196"/>
        <w:textAlignment w:val="auto"/>
        <w:rPr>
          <w:rFonts w:ascii="仿宋_GB2312" w:hAnsi="仿宋" w:eastAsia="仿宋_GB2312" w:cs="Times New Roman"/>
          <w:color w:val="auto"/>
          <w:sz w:val="32"/>
          <w:szCs w:val="32"/>
          <w:highlight w:val="none"/>
        </w:rPr>
      </w:pPr>
      <w:r>
        <w:rPr>
          <w:rFonts w:hint="eastAsia" w:ascii="仿宋_GB2312" w:hAnsi="仿宋" w:eastAsia="仿宋_GB2312" w:cs="仿宋"/>
          <w:color w:val="auto"/>
          <w:sz w:val="32"/>
          <w:szCs w:val="32"/>
          <w:highlight w:val="none"/>
        </w:rPr>
        <w:t>（四）落实</w:t>
      </w:r>
      <w:r>
        <w:rPr>
          <w:rFonts w:hint="eastAsia" w:ascii="仿宋_GB2312" w:hAnsi="仿宋" w:eastAsia="仿宋_GB2312" w:cs="仿宋"/>
          <w:color w:val="auto"/>
          <w:sz w:val="32"/>
          <w:szCs w:val="32"/>
          <w:highlight w:val="none"/>
          <w:lang w:eastAsia="zh-CN"/>
        </w:rPr>
        <w:t>财政部门</w:t>
      </w:r>
      <w:r>
        <w:rPr>
          <w:rFonts w:hint="eastAsia" w:ascii="仿宋_GB2312" w:hAnsi="仿宋" w:eastAsia="仿宋_GB2312" w:cs="仿宋"/>
          <w:color w:val="auto"/>
          <w:sz w:val="32"/>
          <w:szCs w:val="32"/>
          <w:highlight w:val="none"/>
        </w:rPr>
        <w:t>和主管部门提出的整改意见，并按要求公开绩效管理有关情况。</w:t>
      </w:r>
    </w:p>
    <w:p>
      <w:pPr>
        <w:keepNext w:val="0"/>
        <w:keepLines w:val="0"/>
        <w:pageBreakBefore w:val="0"/>
        <w:widowControl w:val="0"/>
        <w:kinsoku/>
        <w:wordWrap/>
        <w:overflowPunct/>
        <w:topLinePunct w:val="0"/>
        <w:autoSpaceDE/>
        <w:autoSpaceDN/>
        <w:bidi w:val="0"/>
        <w:spacing w:line="600" w:lineRule="exact"/>
        <w:ind w:firstLine="627" w:firstLineChars="196"/>
        <w:textAlignment w:val="auto"/>
        <w:rPr>
          <w:rFonts w:ascii="仿宋_GB2312" w:hAnsi="仿宋" w:eastAsia="仿宋_GB2312" w:cs="Times New Roman"/>
          <w:color w:val="auto"/>
          <w:sz w:val="32"/>
          <w:szCs w:val="32"/>
          <w:highlight w:val="none"/>
        </w:rPr>
      </w:pPr>
      <w:r>
        <w:rPr>
          <w:rFonts w:hint="eastAsia" w:ascii="黑体" w:hAnsi="黑体" w:eastAsia="黑体" w:cs="黑体"/>
          <w:b w:val="0"/>
          <w:bCs w:val="0"/>
          <w:color w:val="auto"/>
          <w:sz w:val="32"/>
          <w:szCs w:val="32"/>
          <w:highlight w:val="none"/>
        </w:rPr>
        <w:t>第十</w:t>
      </w:r>
      <w:r>
        <w:rPr>
          <w:rFonts w:hint="eastAsia" w:ascii="黑体" w:hAnsi="黑体" w:eastAsia="黑体" w:cs="黑体"/>
          <w:b w:val="0"/>
          <w:bCs w:val="0"/>
          <w:color w:val="auto"/>
          <w:sz w:val="32"/>
          <w:szCs w:val="32"/>
          <w:highlight w:val="none"/>
          <w:lang w:eastAsia="zh-CN"/>
        </w:rPr>
        <w:t>一</w:t>
      </w:r>
      <w:r>
        <w:rPr>
          <w:rFonts w:hint="eastAsia" w:ascii="黑体" w:hAnsi="黑体" w:eastAsia="黑体" w:cs="黑体"/>
          <w:b w:val="0"/>
          <w:bCs w:val="0"/>
          <w:color w:val="auto"/>
          <w:sz w:val="32"/>
          <w:szCs w:val="32"/>
          <w:highlight w:val="none"/>
        </w:rPr>
        <w:t>条</w:t>
      </w:r>
      <w:r>
        <w:rPr>
          <w:rFonts w:hint="eastAsia" w:ascii="仿宋_GB2312" w:hAnsi="仿宋" w:eastAsia="仿宋_GB2312" w:cs="仿宋"/>
          <w:color w:val="auto"/>
          <w:sz w:val="32"/>
          <w:szCs w:val="32"/>
          <w:highlight w:val="none"/>
        </w:rPr>
        <w:t xml:space="preserve"> 根据需要，绩效评</w:t>
      </w:r>
      <w:r>
        <w:rPr>
          <w:rFonts w:hint="eastAsia" w:ascii="仿宋_GB2312" w:hAnsi="仿宋" w:eastAsia="仿宋_GB2312" w:cs="仿宋"/>
          <w:color w:val="auto"/>
          <w:sz w:val="32"/>
          <w:szCs w:val="32"/>
          <w:highlight w:val="none"/>
          <w:lang w:eastAsia="zh-CN"/>
        </w:rPr>
        <w:t>价</w:t>
      </w:r>
      <w:r>
        <w:rPr>
          <w:rFonts w:hint="eastAsia" w:ascii="仿宋_GB2312" w:hAnsi="仿宋" w:eastAsia="仿宋_GB2312" w:cs="仿宋"/>
          <w:color w:val="auto"/>
          <w:sz w:val="32"/>
          <w:szCs w:val="32"/>
          <w:highlight w:val="none"/>
        </w:rPr>
        <w:t>按工作可委托专家、第三方机构实施。</w:t>
      </w:r>
      <w:r>
        <w:rPr>
          <w:rFonts w:hint="eastAsia" w:ascii="仿宋_GB2312" w:hAnsi="仿宋" w:eastAsia="仿宋_GB2312" w:cs="仿宋"/>
          <w:color w:val="auto"/>
          <w:sz w:val="32"/>
          <w:szCs w:val="32"/>
          <w:highlight w:val="none"/>
          <w:lang w:eastAsia="zh-CN"/>
        </w:rPr>
        <w:t>市</w:t>
      </w:r>
      <w:r>
        <w:rPr>
          <w:rFonts w:hint="eastAsia" w:ascii="仿宋_GB2312" w:hAnsi="仿宋" w:eastAsia="仿宋_GB2312" w:cs="仿宋"/>
          <w:color w:val="auto"/>
          <w:sz w:val="32"/>
          <w:szCs w:val="32"/>
          <w:highlight w:val="none"/>
        </w:rPr>
        <w:t>财政</w:t>
      </w:r>
      <w:r>
        <w:rPr>
          <w:rFonts w:hint="eastAsia" w:ascii="仿宋_GB2312" w:hAnsi="仿宋" w:eastAsia="仿宋_GB2312" w:cs="仿宋"/>
          <w:color w:val="auto"/>
          <w:sz w:val="32"/>
          <w:szCs w:val="32"/>
          <w:highlight w:val="none"/>
          <w:lang w:eastAsia="zh-CN"/>
        </w:rPr>
        <w:t>局</w:t>
      </w:r>
      <w:r>
        <w:rPr>
          <w:rFonts w:hint="eastAsia" w:ascii="仿宋_GB2312" w:hAnsi="仿宋" w:eastAsia="仿宋_GB2312" w:cs="仿宋"/>
          <w:color w:val="auto"/>
          <w:sz w:val="32"/>
          <w:szCs w:val="32"/>
          <w:highlight w:val="none"/>
        </w:rPr>
        <w:t>应当对第三方机构组织参与绩效评价的工作进行规范，并指导其开展工作。</w:t>
      </w:r>
    </w:p>
    <w:p>
      <w:pPr>
        <w:keepNext w:val="0"/>
        <w:keepLines w:val="0"/>
        <w:pageBreakBefore w:val="0"/>
        <w:widowControl w:val="0"/>
        <w:kinsoku/>
        <w:wordWrap/>
        <w:overflowPunct/>
        <w:topLinePunct w:val="0"/>
        <w:autoSpaceDE/>
        <w:autoSpaceDN/>
        <w:bidi w:val="0"/>
        <w:adjustRightInd w:val="0"/>
        <w:snapToGrid w:val="0"/>
        <w:spacing w:before="313" w:beforeLines="100" w:after="313" w:afterLines="100" w:line="560" w:lineRule="exact"/>
        <w:jc w:val="center"/>
        <w:textAlignment w:val="auto"/>
        <w:rPr>
          <w:rFonts w:hint="eastAsia" w:ascii="黑体" w:hAnsi="Calibri" w:eastAsia="黑体" w:cs="黑体"/>
          <w:color w:val="000000" w:themeColor="text1"/>
          <w:sz w:val="32"/>
          <w:szCs w:val="32"/>
          <w:highlight w:val="none"/>
          <w:u w:val="none"/>
          <w14:textFill>
            <w14:solidFill>
              <w14:schemeClr w14:val="tx1"/>
            </w14:solidFill>
          </w14:textFill>
        </w:rPr>
      </w:pPr>
      <w:r>
        <w:rPr>
          <w:rFonts w:hint="eastAsia" w:ascii="黑体" w:hAnsi="Calibri" w:eastAsia="黑体" w:cs="黑体"/>
          <w:color w:val="000000" w:themeColor="text1"/>
          <w:sz w:val="32"/>
          <w:szCs w:val="32"/>
          <w:highlight w:val="none"/>
          <w:u w:val="none"/>
          <w14:textFill>
            <w14:solidFill>
              <w14:schemeClr w14:val="tx1"/>
            </w14:solidFill>
          </w14:textFill>
        </w:rPr>
        <w:t>第</w:t>
      </w:r>
      <w:r>
        <w:rPr>
          <w:rFonts w:hint="eastAsia" w:ascii="黑体" w:hAnsi="Calibri" w:eastAsia="黑体" w:cs="黑体"/>
          <w:color w:val="000000" w:themeColor="text1"/>
          <w:sz w:val="32"/>
          <w:szCs w:val="32"/>
          <w:highlight w:val="none"/>
          <w:u w:val="none"/>
          <w:lang w:eastAsia="zh-CN"/>
          <w14:textFill>
            <w14:solidFill>
              <w14:schemeClr w14:val="tx1"/>
            </w14:solidFill>
          </w14:textFill>
        </w:rPr>
        <w:t>三</w:t>
      </w:r>
      <w:r>
        <w:rPr>
          <w:rFonts w:hint="eastAsia" w:ascii="黑体" w:hAnsi="Calibri" w:eastAsia="黑体" w:cs="黑体"/>
          <w:color w:val="000000" w:themeColor="text1"/>
          <w:sz w:val="32"/>
          <w:szCs w:val="32"/>
          <w:highlight w:val="none"/>
          <w:u w:val="none"/>
          <w14:textFill>
            <w14:solidFill>
              <w14:schemeClr w14:val="tx1"/>
            </w14:solidFill>
          </w14:textFill>
        </w:rPr>
        <w:t xml:space="preserve">章 </w:t>
      </w:r>
      <w:r>
        <w:rPr>
          <w:rFonts w:hint="eastAsia" w:ascii="黑体" w:hAnsi="Calibri" w:eastAsia="黑体" w:cs="黑体"/>
          <w:color w:val="000000" w:themeColor="text1"/>
          <w:sz w:val="32"/>
          <w:szCs w:val="32"/>
          <w:highlight w:val="none"/>
          <w:u w:val="none"/>
          <w:lang w:val="en-US" w:eastAsia="zh-CN"/>
          <w14:textFill>
            <w14:solidFill>
              <w14:schemeClr w14:val="tx1"/>
            </w14:solidFill>
          </w14:textFill>
        </w:rPr>
        <w:t xml:space="preserve"> </w:t>
      </w:r>
      <w:r>
        <w:rPr>
          <w:rFonts w:hint="eastAsia" w:ascii="黑体" w:hAnsi="Calibri" w:eastAsia="黑体" w:cs="黑体"/>
          <w:color w:val="000000" w:themeColor="text1"/>
          <w:sz w:val="32"/>
          <w:szCs w:val="32"/>
          <w:highlight w:val="none"/>
          <w:u w:val="none"/>
          <w14:textFill>
            <w14:solidFill>
              <w14:schemeClr w14:val="tx1"/>
            </w14:solidFill>
          </w14:textFill>
        </w:rPr>
        <w:t>绩效评价的对象和内容</w:t>
      </w:r>
    </w:p>
    <w:p>
      <w:pPr>
        <w:keepNext w:val="0"/>
        <w:keepLines w:val="0"/>
        <w:pageBreakBefore w:val="0"/>
        <w:widowControl w:val="0"/>
        <w:kinsoku/>
        <w:wordWrap/>
        <w:overflowPunct/>
        <w:topLinePunct w:val="0"/>
        <w:autoSpaceDE/>
        <w:autoSpaceDN/>
        <w:bidi w:val="0"/>
        <w:spacing w:line="600" w:lineRule="exact"/>
        <w:ind w:firstLine="627" w:firstLineChars="196"/>
        <w:textAlignment w:val="auto"/>
        <w:rPr>
          <w:rFonts w:hint="eastAsia" w:ascii="仿宋_GB2312" w:hAnsi="仿宋" w:eastAsia="仿宋_GB2312" w:cs="Times New Roman"/>
          <w:color w:val="auto"/>
          <w:sz w:val="32"/>
          <w:szCs w:val="32"/>
          <w:highlight w:val="none"/>
          <w:lang w:eastAsia="zh-CN"/>
        </w:rPr>
      </w:pPr>
      <w:r>
        <w:rPr>
          <w:rFonts w:hint="eastAsia" w:ascii="黑体" w:hAnsi="黑体" w:eastAsia="黑体" w:cs="黑体"/>
          <w:b w:val="0"/>
          <w:bCs w:val="0"/>
          <w:color w:val="auto"/>
          <w:sz w:val="32"/>
          <w:szCs w:val="32"/>
          <w:highlight w:val="none"/>
        </w:rPr>
        <w:t>第十</w:t>
      </w:r>
      <w:r>
        <w:rPr>
          <w:rFonts w:hint="eastAsia" w:ascii="黑体" w:hAnsi="黑体" w:eastAsia="黑体" w:cs="黑体"/>
          <w:b w:val="0"/>
          <w:bCs w:val="0"/>
          <w:color w:val="auto"/>
          <w:sz w:val="32"/>
          <w:szCs w:val="32"/>
          <w:highlight w:val="none"/>
          <w:lang w:eastAsia="zh-CN"/>
        </w:rPr>
        <w:t>二</w:t>
      </w:r>
      <w:r>
        <w:rPr>
          <w:rFonts w:hint="eastAsia" w:ascii="黑体" w:hAnsi="黑体" w:eastAsia="黑体" w:cs="黑体"/>
          <w:b w:val="0"/>
          <w:bCs w:val="0"/>
          <w:color w:val="auto"/>
          <w:sz w:val="32"/>
          <w:szCs w:val="32"/>
          <w:highlight w:val="none"/>
        </w:rPr>
        <w:t>条</w:t>
      </w:r>
      <w:r>
        <w:rPr>
          <w:rFonts w:hint="eastAsia" w:ascii="仿宋_GB2312" w:hAnsi="仿宋" w:eastAsia="仿宋_GB2312" w:cs="仿宋"/>
          <w:b/>
          <w:bCs/>
          <w:color w:val="auto"/>
          <w:sz w:val="32"/>
          <w:szCs w:val="32"/>
          <w:highlight w:val="none"/>
        </w:rPr>
        <w:t xml:space="preserve"> </w:t>
      </w:r>
      <w:r>
        <w:rPr>
          <w:rFonts w:hint="eastAsia" w:ascii="仿宋_GB2312" w:hAnsi="仿宋" w:eastAsia="仿宋_GB2312" w:cs="仿宋"/>
          <w:bCs w:val="0"/>
          <w:color w:val="auto"/>
          <w:sz w:val="32"/>
          <w:szCs w:val="32"/>
          <w:highlight w:val="none"/>
        </w:rPr>
        <w:t>单位自评的对象</w:t>
      </w:r>
      <w:r>
        <w:rPr>
          <w:rFonts w:hint="eastAsia" w:ascii="仿宋_GB2312" w:hAnsi="仿宋" w:eastAsia="仿宋_GB2312" w:cs="仿宋"/>
          <w:color w:val="auto"/>
          <w:sz w:val="32"/>
          <w:szCs w:val="32"/>
          <w:highlight w:val="none"/>
        </w:rPr>
        <w:t>是纳入</w:t>
      </w:r>
      <w:r>
        <w:rPr>
          <w:rFonts w:hint="eastAsia" w:ascii="仿宋_GB2312" w:hAnsi="仿宋" w:eastAsia="仿宋_GB2312" w:cs="仿宋"/>
          <w:color w:val="auto"/>
          <w:sz w:val="32"/>
          <w:szCs w:val="32"/>
          <w:highlight w:val="none"/>
          <w:lang w:eastAsia="zh-CN"/>
        </w:rPr>
        <w:t>市</w:t>
      </w:r>
      <w:r>
        <w:rPr>
          <w:rFonts w:hint="eastAsia" w:ascii="仿宋_GB2312" w:hAnsi="仿宋" w:eastAsia="仿宋_GB2312" w:cs="仿宋"/>
          <w:color w:val="auto"/>
          <w:sz w:val="32"/>
          <w:szCs w:val="32"/>
          <w:highlight w:val="none"/>
        </w:rPr>
        <w:t>级预算支出的资金。</w:t>
      </w:r>
      <w:r>
        <w:rPr>
          <w:rFonts w:hint="eastAsia" w:ascii="仿宋_GB2312" w:hAnsi="仿宋" w:eastAsia="仿宋_GB2312" w:cs="仿宋"/>
          <w:color w:val="auto"/>
          <w:sz w:val="32"/>
          <w:szCs w:val="32"/>
          <w:highlight w:val="none"/>
          <w:lang w:eastAsia="zh-CN"/>
        </w:rPr>
        <w:t>其中：项目支出绩效评价是纳入政府预算管理的所有项目支出；</w:t>
      </w:r>
      <w:r>
        <w:rPr>
          <w:rFonts w:hint="eastAsia" w:ascii="仿宋_GB2312" w:hAnsi="仿宋" w:eastAsia="仿宋_GB2312" w:cs="仿宋"/>
          <w:color w:val="auto"/>
          <w:sz w:val="32"/>
          <w:szCs w:val="32"/>
          <w:highlight w:val="none"/>
        </w:rPr>
        <w:t>部门整体绩效评价，是对包括部门基本支出和项目支出在内的整体预算资金的绩效评价。</w:t>
      </w:r>
    </w:p>
    <w:p>
      <w:pPr>
        <w:keepNext w:val="0"/>
        <w:keepLines w:val="0"/>
        <w:pageBreakBefore w:val="0"/>
        <w:widowControl w:val="0"/>
        <w:kinsoku/>
        <w:wordWrap/>
        <w:overflowPunct/>
        <w:topLinePunct w:val="0"/>
        <w:autoSpaceDE/>
        <w:autoSpaceDN/>
        <w:bidi w:val="0"/>
        <w:spacing w:line="600" w:lineRule="exact"/>
        <w:ind w:firstLine="627" w:firstLineChars="196"/>
        <w:textAlignment w:val="auto"/>
        <w:rPr>
          <w:rFonts w:hint="eastAsia" w:ascii="仿宋_GB2312" w:hAnsi="仿宋" w:eastAsia="仿宋_GB2312" w:cs="仿宋"/>
          <w:b w:val="0"/>
          <w:bCs w:val="0"/>
          <w:color w:val="auto"/>
          <w:sz w:val="32"/>
          <w:szCs w:val="32"/>
          <w:highlight w:val="none"/>
        </w:rPr>
      </w:pPr>
      <w:r>
        <w:rPr>
          <w:rFonts w:hint="eastAsia" w:ascii="黑体" w:hAnsi="黑体" w:eastAsia="黑体" w:cs="黑体"/>
          <w:b w:val="0"/>
          <w:bCs w:val="0"/>
          <w:color w:val="auto"/>
          <w:sz w:val="32"/>
          <w:szCs w:val="32"/>
          <w:highlight w:val="none"/>
          <w:lang w:eastAsia="zh-CN"/>
        </w:rPr>
        <w:t>第十三条</w:t>
      </w:r>
      <w:r>
        <w:rPr>
          <w:rFonts w:hint="eastAsia" w:ascii="仿宋_GB2312" w:hAnsi="仿宋" w:eastAsia="仿宋_GB2312" w:cs="仿宋"/>
          <w:b w:val="0"/>
          <w:bCs w:val="0"/>
          <w:color w:val="auto"/>
          <w:sz w:val="32"/>
          <w:szCs w:val="32"/>
          <w:highlight w:val="none"/>
          <w:lang w:val="en-US" w:eastAsia="zh-CN"/>
        </w:rPr>
        <w:t xml:space="preserve"> </w:t>
      </w:r>
      <w:r>
        <w:rPr>
          <w:rFonts w:hint="eastAsia" w:ascii="仿宋_GB2312" w:hAnsi="仿宋" w:eastAsia="仿宋_GB2312" w:cs="仿宋"/>
          <w:b w:val="0"/>
          <w:bCs w:val="0"/>
          <w:color w:val="auto"/>
          <w:sz w:val="32"/>
          <w:szCs w:val="32"/>
          <w:highlight w:val="none"/>
        </w:rPr>
        <w:t>部门评价对象应根据工作需要，优先选择部门履职的重大改革发展项目，随机选择一般性项目。原则上应以5年为周期，实现部门评价重点项目全覆盖。</w:t>
      </w:r>
    </w:p>
    <w:p>
      <w:pPr>
        <w:keepNext w:val="0"/>
        <w:keepLines w:val="0"/>
        <w:pageBreakBefore w:val="0"/>
        <w:widowControl w:val="0"/>
        <w:kinsoku/>
        <w:wordWrap/>
        <w:overflowPunct/>
        <w:topLinePunct w:val="0"/>
        <w:autoSpaceDE/>
        <w:autoSpaceDN/>
        <w:bidi w:val="0"/>
        <w:spacing w:line="600" w:lineRule="exact"/>
        <w:ind w:firstLine="640"/>
        <w:textAlignment w:val="auto"/>
        <w:rPr>
          <w:rFonts w:hint="eastAsia" w:ascii="仿宋_GB2312"/>
          <w:bCs/>
          <w:color w:val="auto"/>
          <w:sz w:val="32"/>
          <w:szCs w:val="32"/>
          <w:highlight w:val="none"/>
        </w:rPr>
      </w:pPr>
      <w:r>
        <w:rPr>
          <w:rFonts w:hint="eastAsia" w:ascii="黑体" w:hAnsi="黑体" w:eastAsia="黑体" w:cs="黑体"/>
          <w:b w:val="0"/>
          <w:bCs w:val="0"/>
          <w:color w:val="auto"/>
          <w:sz w:val="32"/>
          <w:szCs w:val="32"/>
          <w:highlight w:val="none"/>
        </w:rPr>
        <w:t>第十</w:t>
      </w:r>
      <w:r>
        <w:rPr>
          <w:rFonts w:hint="eastAsia" w:ascii="黑体" w:hAnsi="黑体" w:eastAsia="黑体" w:cs="黑体"/>
          <w:b w:val="0"/>
          <w:bCs w:val="0"/>
          <w:color w:val="auto"/>
          <w:sz w:val="32"/>
          <w:szCs w:val="32"/>
          <w:highlight w:val="none"/>
          <w:lang w:eastAsia="zh-CN"/>
        </w:rPr>
        <w:t>四</w:t>
      </w:r>
      <w:r>
        <w:rPr>
          <w:rFonts w:hint="eastAsia" w:ascii="黑体" w:hAnsi="黑体" w:eastAsia="黑体" w:cs="黑体"/>
          <w:b w:val="0"/>
          <w:bCs w:val="0"/>
          <w:color w:val="auto"/>
          <w:sz w:val="32"/>
          <w:szCs w:val="32"/>
          <w:highlight w:val="none"/>
        </w:rPr>
        <w:t>条</w:t>
      </w:r>
      <w:r>
        <w:rPr>
          <w:rFonts w:hint="eastAsia" w:ascii="仿宋_GB2312"/>
          <w:bCs/>
          <w:color w:val="auto"/>
          <w:sz w:val="32"/>
          <w:szCs w:val="32"/>
          <w:highlight w:val="none"/>
        </w:rPr>
        <w:t xml:space="preserve"> </w:t>
      </w:r>
      <w:r>
        <w:rPr>
          <w:rFonts w:hint="eastAsia" w:ascii="仿宋_GB2312" w:hAnsi="仿宋" w:eastAsia="仿宋_GB2312" w:cs="仿宋"/>
          <w:bCs w:val="0"/>
          <w:color w:val="auto"/>
          <w:sz w:val="32"/>
          <w:szCs w:val="32"/>
          <w:highlight w:val="none"/>
        </w:rPr>
        <w:t>财政评价对象应根据工作需要，优先选择贯彻落实党中央、国务院重大方针政策和决策部署的项目，覆盖面广、影响力大、社会关注度高、实施期长的项目。对</w:t>
      </w:r>
      <w:r>
        <w:rPr>
          <w:rFonts w:hint="eastAsia" w:ascii="仿宋_GB2312" w:hAnsi="仿宋" w:eastAsia="仿宋_GB2312" w:cs="仿宋"/>
          <w:color w:val="auto"/>
          <w:sz w:val="32"/>
          <w:szCs w:val="32"/>
          <w:highlight w:val="none"/>
        </w:rPr>
        <w:t>重点项目应周期性组织开展绩效评价</w:t>
      </w:r>
      <w:r>
        <w:rPr>
          <w:rFonts w:hint="eastAsia" w:ascii="仿宋_GB2312" w:hAnsi="仿宋" w:eastAsia="仿宋_GB2312" w:cs="仿宋"/>
          <w:bCs w:val="0"/>
          <w:color w:val="auto"/>
          <w:sz w:val="32"/>
          <w:szCs w:val="32"/>
          <w:highlight w:val="none"/>
        </w:rPr>
        <w:t>。</w:t>
      </w:r>
    </w:p>
    <w:p>
      <w:pPr>
        <w:keepNext w:val="0"/>
        <w:keepLines w:val="0"/>
        <w:pageBreakBefore w:val="0"/>
        <w:widowControl w:val="0"/>
        <w:kinsoku/>
        <w:wordWrap/>
        <w:overflowPunct/>
        <w:topLinePunct w:val="0"/>
        <w:autoSpaceDE/>
        <w:autoSpaceDN/>
        <w:bidi w:val="0"/>
        <w:spacing w:line="600" w:lineRule="exact"/>
        <w:ind w:firstLine="640"/>
        <w:textAlignment w:val="auto"/>
        <w:rPr>
          <w:rFonts w:hint="eastAsia" w:ascii="仿宋_GB2312" w:hAnsi="仿宋" w:eastAsia="仿宋_GB2312" w:cs="仿宋"/>
          <w:b w:val="0"/>
          <w:bCs w:val="0"/>
          <w:color w:val="auto"/>
          <w:sz w:val="32"/>
          <w:szCs w:val="32"/>
          <w:highlight w:val="none"/>
        </w:rPr>
      </w:pPr>
      <w:r>
        <w:rPr>
          <w:rFonts w:hint="eastAsia" w:ascii="黑体" w:hAnsi="黑体" w:eastAsia="黑体" w:cs="黑体"/>
          <w:b w:val="0"/>
          <w:bCs w:val="0"/>
          <w:color w:val="auto"/>
          <w:sz w:val="32"/>
          <w:szCs w:val="32"/>
          <w:highlight w:val="none"/>
        </w:rPr>
        <w:t>第十</w:t>
      </w:r>
      <w:r>
        <w:rPr>
          <w:rFonts w:hint="eastAsia" w:ascii="黑体" w:hAnsi="黑体" w:eastAsia="黑体" w:cs="黑体"/>
          <w:b w:val="0"/>
          <w:bCs w:val="0"/>
          <w:color w:val="auto"/>
          <w:sz w:val="32"/>
          <w:szCs w:val="32"/>
          <w:highlight w:val="none"/>
          <w:lang w:eastAsia="zh-CN"/>
        </w:rPr>
        <w:t>五</w:t>
      </w:r>
      <w:r>
        <w:rPr>
          <w:rFonts w:hint="eastAsia" w:ascii="黑体" w:hAnsi="黑体" w:eastAsia="黑体" w:cs="黑体"/>
          <w:b w:val="0"/>
          <w:bCs w:val="0"/>
          <w:color w:val="auto"/>
          <w:sz w:val="32"/>
          <w:szCs w:val="32"/>
          <w:highlight w:val="none"/>
        </w:rPr>
        <w:t>条</w:t>
      </w:r>
      <w:r>
        <w:rPr>
          <w:rFonts w:hint="eastAsia" w:ascii="仿宋" w:hAnsi="仿宋" w:eastAsia="仿宋" w:cs="仿宋"/>
          <w:b/>
          <w:bCs/>
          <w:color w:val="auto"/>
          <w:sz w:val="32"/>
          <w:szCs w:val="32"/>
          <w:highlight w:val="none"/>
        </w:rPr>
        <w:t xml:space="preserve"> </w:t>
      </w:r>
      <w:r>
        <w:rPr>
          <w:rFonts w:hint="eastAsia" w:ascii="仿宋_GB2312" w:hAnsi="仿宋" w:eastAsia="仿宋_GB2312" w:cs="仿宋"/>
          <w:b w:val="0"/>
          <w:bCs w:val="0"/>
          <w:color w:val="auto"/>
          <w:sz w:val="32"/>
          <w:szCs w:val="32"/>
          <w:highlight w:val="none"/>
        </w:rPr>
        <w:t>单位自评的内容主要包括</w:t>
      </w:r>
      <w:r>
        <w:rPr>
          <w:rFonts w:hint="eastAsia" w:ascii="仿宋_GB2312" w:hAnsi="仿宋" w:eastAsia="仿宋_GB2312" w:cs="仿宋"/>
          <w:b w:val="0"/>
          <w:bCs w:val="0"/>
          <w:color w:val="auto"/>
          <w:sz w:val="32"/>
          <w:szCs w:val="32"/>
          <w:highlight w:val="none"/>
          <w:lang w:eastAsia="zh-CN"/>
        </w:rPr>
        <w:t>单位</w:t>
      </w:r>
      <w:r>
        <w:rPr>
          <w:rFonts w:hint="eastAsia" w:ascii="仿宋_GB2312" w:hAnsi="仿宋" w:eastAsia="仿宋_GB2312" w:cs="仿宋"/>
          <w:b w:val="0"/>
          <w:bCs w:val="0"/>
          <w:color w:val="auto"/>
          <w:sz w:val="32"/>
          <w:szCs w:val="32"/>
          <w:highlight w:val="none"/>
        </w:rPr>
        <w:t>总体绩效目标、各项绩效指标完成情况以及预算执行情况。对未完成绩效目标或偏离绩效目标较大的项目要分析并说明原因，研究提出改进措施。</w:t>
      </w:r>
    </w:p>
    <w:p>
      <w:pPr>
        <w:keepNext w:val="0"/>
        <w:keepLines w:val="0"/>
        <w:pageBreakBefore w:val="0"/>
        <w:widowControl w:val="0"/>
        <w:kinsoku/>
        <w:wordWrap/>
        <w:overflowPunct/>
        <w:topLinePunct w:val="0"/>
        <w:autoSpaceDE/>
        <w:autoSpaceDN/>
        <w:bidi w:val="0"/>
        <w:spacing w:line="600" w:lineRule="exact"/>
        <w:ind w:firstLine="627" w:firstLineChars="196"/>
        <w:textAlignment w:val="auto"/>
        <w:rPr>
          <w:rFonts w:hint="eastAsia" w:ascii="仿宋_GB2312" w:hAnsi="仿宋" w:eastAsia="仿宋_GB2312" w:cs="仿宋"/>
          <w:b w:val="0"/>
          <w:bCs w:val="0"/>
          <w:color w:val="auto"/>
          <w:sz w:val="32"/>
          <w:szCs w:val="32"/>
          <w:highlight w:val="none"/>
        </w:rPr>
      </w:pPr>
      <w:r>
        <w:rPr>
          <w:rFonts w:hint="eastAsia" w:ascii="黑体" w:hAnsi="黑体" w:eastAsia="黑体" w:cs="黑体"/>
          <w:b w:val="0"/>
          <w:bCs w:val="0"/>
          <w:color w:val="auto"/>
          <w:sz w:val="32"/>
          <w:szCs w:val="32"/>
          <w:highlight w:val="none"/>
        </w:rPr>
        <w:t>第十</w:t>
      </w:r>
      <w:r>
        <w:rPr>
          <w:rFonts w:hint="eastAsia" w:ascii="黑体" w:hAnsi="黑体" w:eastAsia="黑体" w:cs="黑体"/>
          <w:b w:val="0"/>
          <w:bCs w:val="0"/>
          <w:color w:val="auto"/>
          <w:sz w:val="32"/>
          <w:szCs w:val="32"/>
          <w:highlight w:val="none"/>
          <w:lang w:eastAsia="zh-CN"/>
        </w:rPr>
        <w:t>六</w:t>
      </w:r>
      <w:r>
        <w:rPr>
          <w:rFonts w:hint="eastAsia" w:ascii="黑体" w:hAnsi="黑体" w:eastAsia="黑体" w:cs="黑体"/>
          <w:b w:val="0"/>
          <w:bCs w:val="0"/>
          <w:color w:val="auto"/>
          <w:sz w:val="32"/>
          <w:szCs w:val="32"/>
          <w:highlight w:val="none"/>
        </w:rPr>
        <w:t>条</w:t>
      </w:r>
      <w:r>
        <w:rPr>
          <w:rFonts w:hint="eastAsia" w:ascii="仿宋" w:hAnsi="仿宋" w:eastAsia="仿宋" w:cs="仿宋"/>
          <w:b/>
          <w:bCs/>
          <w:color w:val="auto"/>
          <w:sz w:val="32"/>
          <w:szCs w:val="32"/>
          <w:highlight w:val="none"/>
        </w:rPr>
        <w:t xml:space="preserve"> </w:t>
      </w:r>
      <w:r>
        <w:rPr>
          <w:rFonts w:hint="eastAsia" w:ascii="仿宋_GB2312" w:hAnsi="仿宋" w:eastAsia="仿宋_GB2312" w:cs="仿宋"/>
          <w:b w:val="0"/>
          <w:bCs w:val="0"/>
          <w:color w:val="auto"/>
          <w:sz w:val="32"/>
          <w:szCs w:val="32"/>
          <w:highlight w:val="none"/>
        </w:rPr>
        <w:t>财政</w:t>
      </w:r>
      <w:r>
        <w:rPr>
          <w:rFonts w:hint="eastAsia" w:ascii="仿宋_GB2312" w:hAnsi="仿宋" w:eastAsia="仿宋_GB2312" w:cs="仿宋"/>
          <w:b w:val="0"/>
          <w:bCs w:val="0"/>
          <w:color w:val="auto"/>
          <w:sz w:val="32"/>
          <w:szCs w:val="32"/>
          <w:highlight w:val="none"/>
          <w:lang w:eastAsia="zh-CN"/>
        </w:rPr>
        <w:t>评价</w:t>
      </w:r>
      <w:r>
        <w:rPr>
          <w:rFonts w:hint="eastAsia" w:ascii="仿宋_GB2312" w:hAnsi="仿宋" w:eastAsia="仿宋_GB2312" w:cs="仿宋"/>
          <w:b w:val="0"/>
          <w:bCs w:val="0"/>
          <w:color w:val="auto"/>
          <w:sz w:val="32"/>
          <w:szCs w:val="32"/>
          <w:highlight w:val="none"/>
        </w:rPr>
        <w:t>和部门评价的内容主要包括：</w:t>
      </w:r>
    </w:p>
    <w:p>
      <w:pPr>
        <w:keepNext w:val="0"/>
        <w:keepLines w:val="0"/>
        <w:pageBreakBefore w:val="0"/>
        <w:widowControl w:val="0"/>
        <w:kinsoku/>
        <w:wordWrap/>
        <w:overflowPunct/>
        <w:topLinePunct w:val="0"/>
        <w:autoSpaceDE/>
        <w:autoSpaceDN/>
        <w:bidi w:val="0"/>
        <w:spacing w:line="600" w:lineRule="exact"/>
        <w:ind w:firstLine="627" w:firstLineChars="196"/>
        <w:textAlignment w:val="auto"/>
        <w:rPr>
          <w:rFonts w:hint="eastAsia" w:ascii="仿宋_GB2312" w:hAnsi="仿宋" w:eastAsia="仿宋_GB2312" w:cs="仿宋"/>
          <w:b w:val="0"/>
          <w:bCs w:val="0"/>
          <w:color w:val="auto"/>
          <w:sz w:val="32"/>
          <w:szCs w:val="32"/>
          <w:highlight w:val="none"/>
        </w:rPr>
      </w:pPr>
      <w:r>
        <w:rPr>
          <w:rFonts w:hint="eastAsia" w:ascii="仿宋_GB2312" w:hAnsi="仿宋" w:eastAsia="仿宋_GB2312" w:cs="仿宋"/>
          <w:b w:val="0"/>
          <w:bCs w:val="0"/>
          <w:color w:val="auto"/>
          <w:sz w:val="32"/>
          <w:szCs w:val="32"/>
          <w:highlight w:val="none"/>
        </w:rPr>
        <w:t>（一）决策情况；</w:t>
      </w:r>
    </w:p>
    <w:p>
      <w:pPr>
        <w:keepNext w:val="0"/>
        <w:keepLines w:val="0"/>
        <w:pageBreakBefore w:val="0"/>
        <w:widowControl w:val="0"/>
        <w:kinsoku/>
        <w:wordWrap/>
        <w:overflowPunct/>
        <w:topLinePunct w:val="0"/>
        <w:autoSpaceDE/>
        <w:autoSpaceDN/>
        <w:bidi w:val="0"/>
        <w:spacing w:line="600" w:lineRule="exact"/>
        <w:ind w:firstLine="627" w:firstLineChars="196"/>
        <w:textAlignment w:val="auto"/>
        <w:rPr>
          <w:rFonts w:hint="eastAsia" w:ascii="仿宋_GB2312" w:hAnsi="仿宋" w:eastAsia="仿宋_GB2312" w:cs="仿宋"/>
          <w:b w:val="0"/>
          <w:bCs w:val="0"/>
          <w:color w:val="auto"/>
          <w:sz w:val="32"/>
          <w:szCs w:val="32"/>
          <w:highlight w:val="none"/>
        </w:rPr>
      </w:pPr>
      <w:r>
        <w:rPr>
          <w:rFonts w:hint="eastAsia" w:ascii="仿宋_GB2312" w:hAnsi="仿宋" w:eastAsia="仿宋_GB2312" w:cs="仿宋"/>
          <w:b w:val="0"/>
          <w:bCs w:val="0"/>
          <w:color w:val="auto"/>
          <w:sz w:val="32"/>
          <w:szCs w:val="32"/>
          <w:highlight w:val="none"/>
        </w:rPr>
        <w:t>（二）资金管理和使用情况；</w:t>
      </w:r>
    </w:p>
    <w:p>
      <w:pPr>
        <w:keepNext w:val="0"/>
        <w:keepLines w:val="0"/>
        <w:pageBreakBefore w:val="0"/>
        <w:widowControl w:val="0"/>
        <w:kinsoku/>
        <w:wordWrap/>
        <w:overflowPunct/>
        <w:topLinePunct w:val="0"/>
        <w:autoSpaceDE/>
        <w:autoSpaceDN/>
        <w:bidi w:val="0"/>
        <w:spacing w:line="600" w:lineRule="exact"/>
        <w:ind w:firstLine="627" w:firstLineChars="196"/>
        <w:textAlignment w:val="auto"/>
        <w:rPr>
          <w:rFonts w:hint="eastAsia" w:ascii="仿宋_GB2312" w:hAnsi="仿宋" w:eastAsia="仿宋_GB2312" w:cs="仿宋"/>
          <w:b w:val="0"/>
          <w:bCs w:val="0"/>
          <w:color w:val="auto"/>
          <w:sz w:val="32"/>
          <w:szCs w:val="32"/>
          <w:highlight w:val="none"/>
        </w:rPr>
      </w:pPr>
      <w:r>
        <w:rPr>
          <w:rFonts w:hint="eastAsia" w:ascii="仿宋_GB2312" w:hAnsi="仿宋" w:eastAsia="仿宋_GB2312" w:cs="仿宋"/>
          <w:b w:val="0"/>
          <w:bCs w:val="0"/>
          <w:color w:val="auto"/>
          <w:sz w:val="32"/>
          <w:szCs w:val="32"/>
          <w:highlight w:val="none"/>
        </w:rPr>
        <w:t>（三）相关管理制度办法的健全性及执行情况；</w:t>
      </w:r>
    </w:p>
    <w:p>
      <w:pPr>
        <w:keepNext w:val="0"/>
        <w:keepLines w:val="0"/>
        <w:pageBreakBefore w:val="0"/>
        <w:widowControl w:val="0"/>
        <w:kinsoku/>
        <w:wordWrap/>
        <w:overflowPunct/>
        <w:topLinePunct w:val="0"/>
        <w:autoSpaceDE/>
        <w:autoSpaceDN/>
        <w:bidi w:val="0"/>
        <w:spacing w:line="600" w:lineRule="exact"/>
        <w:ind w:firstLine="627" w:firstLineChars="196"/>
        <w:textAlignment w:val="auto"/>
        <w:rPr>
          <w:rFonts w:hint="eastAsia" w:ascii="仿宋_GB2312" w:hAnsi="仿宋" w:eastAsia="仿宋_GB2312" w:cs="仿宋"/>
          <w:b w:val="0"/>
          <w:bCs w:val="0"/>
          <w:color w:val="auto"/>
          <w:sz w:val="32"/>
          <w:szCs w:val="32"/>
          <w:highlight w:val="none"/>
        </w:rPr>
      </w:pPr>
      <w:r>
        <w:rPr>
          <w:rFonts w:hint="eastAsia" w:ascii="仿宋_GB2312" w:hAnsi="仿宋" w:eastAsia="仿宋_GB2312" w:cs="仿宋"/>
          <w:b w:val="0"/>
          <w:bCs w:val="0"/>
          <w:color w:val="auto"/>
          <w:sz w:val="32"/>
          <w:szCs w:val="32"/>
          <w:highlight w:val="none"/>
        </w:rPr>
        <w:t>（四）实现的产出情况；</w:t>
      </w:r>
    </w:p>
    <w:p>
      <w:pPr>
        <w:keepNext w:val="0"/>
        <w:keepLines w:val="0"/>
        <w:pageBreakBefore w:val="0"/>
        <w:widowControl w:val="0"/>
        <w:kinsoku/>
        <w:wordWrap/>
        <w:overflowPunct/>
        <w:topLinePunct w:val="0"/>
        <w:autoSpaceDE/>
        <w:autoSpaceDN/>
        <w:bidi w:val="0"/>
        <w:spacing w:line="600" w:lineRule="exact"/>
        <w:ind w:firstLine="627" w:firstLineChars="196"/>
        <w:textAlignment w:val="auto"/>
        <w:rPr>
          <w:rFonts w:hint="eastAsia" w:ascii="仿宋_GB2312" w:hAnsi="仿宋" w:eastAsia="仿宋_GB2312" w:cs="仿宋"/>
          <w:b w:val="0"/>
          <w:bCs w:val="0"/>
          <w:color w:val="auto"/>
          <w:sz w:val="32"/>
          <w:szCs w:val="32"/>
          <w:highlight w:val="none"/>
        </w:rPr>
      </w:pPr>
      <w:r>
        <w:rPr>
          <w:rFonts w:hint="eastAsia" w:ascii="仿宋_GB2312" w:hAnsi="仿宋" w:eastAsia="仿宋_GB2312" w:cs="仿宋"/>
          <w:b w:val="0"/>
          <w:bCs w:val="0"/>
          <w:color w:val="auto"/>
          <w:sz w:val="32"/>
          <w:szCs w:val="32"/>
          <w:highlight w:val="none"/>
        </w:rPr>
        <w:t>（五）取得的效益情况；</w:t>
      </w:r>
    </w:p>
    <w:p>
      <w:pPr>
        <w:keepNext w:val="0"/>
        <w:keepLines w:val="0"/>
        <w:pageBreakBefore w:val="0"/>
        <w:widowControl w:val="0"/>
        <w:kinsoku/>
        <w:wordWrap/>
        <w:overflowPunct/>
        <w:topLinePunct w:val="0"/>
        <w:autoSpaceDE/>
        <w:autoSpaceDN/>
        <w:bidi w:val="0"/>
        <w:spacing w:line="600" w:lineRule="exact"/>
        <w:ind w:firstLine="627" w:firstLineChars="196"/>
        <w:textAlignment w:val="auto"/>
        <w:rPr>
          <w:rFonts w:hint="eastAsia" w:ascii="仿宋_GB2312" w:hAnsi="仿宋" w:eastAsia="仿宋_GB2312" w:cs="仿宋"/>
          <w:b w:val="0"/>
          <w:bCs w:val="0"/>
          <w:color w:val="auto"/>
          <w:sz w:val="32"/>
          <w:szCs w:val="32"/>
          <w:highlight w:val="none"/>
        </w:rPr>
      </w:pPr>
      <w:r>
        <w:rPr>
          <w:rFonts w:hint="eastAsia" w:ascii="仿宋_GB2312" w:hAnsi="仿宋" w:eastAsia="仿宋_GB2312" w:cs="仿宋"/>
          <w:b w:val="0"/>
          <w:bCs w:val="0"/>
          <w:color w:val="auto"/>
          <w:sz w:val="32"/>
          <w:szCs w:val="32"/>
          <w:highlight w:val="none"/>
        </w:rPr>
        <w:t>（六）其他相关内容。</w:t>
      </w:r>
    </w:p>
    <w:p>
      <w:pPr>
        <w:keepNext w:val="0"/>
        <w:keepLines w:val="0"/>
        <w:pageBreakBefore w:val="0"/>
        <w:widowControl w:val="0"/>
        <w:kinsoku/>
        <w:wordWrap/>
        <w:overflowPunct/>
        <w:topLinePunct w:val="0"/>
        <w:autoSpaceDE/>
        <w:autoSpaceDN/>
        <w:bidi w:val="0"/>
        <w:adjustRightInd w:val="0"/>
        <w:snapToGrid w:val="0"/>
        <w:spacing w:before="313" w:beforeLines="100" w:after="313" w:afterLines="100" w:line="560" w:lineRule="exact"/>
        <w:jc w:val="center"/>
        <w:textAlignment w:val="auto"/>
        <w:rPr>
          <w:rFonts w:hint="eastAsia" w:ascii="黑体" w:hAnsi="Calibri" w:eastAsia="黑体" w:cs="黑体"/>
          <w:color w:val="000000" w:themeColor="text1"/>
          <w:sz w:val="32"/>
          <w:szCs w:val="32"/>
          <w:highlight w:val="none"/>
          <w:u w:val="none"/>
          <w14:textFill>
            <w14:solidFill>
              <w14:schemeClr w14:val="tx1"/>
            </w14:solidFill>
          </w14:textFill>
        </w:rPr>
      </w:pPr>
      <w:r>
        <w:rPr>
          <w:rFonts w:hint="eastAsia" w:ascii="黑体" w:hAnsi="Calibri" w:eastAsia="黑体" w:cs="黑体"/>
          <w:color w:val="000000" w:themeColor="text1"/>
          <w:sz w:val="32"/>
          <w:szCs w:val="32"/>
          <w:highlight w:val="none"/>
          <w:u w:val="none"/>
          <w14:textFill>
            <w14:solidFill>
              <w14:schemeClr w14:val="tx1"/>
            </w14:solidFill>
          </w14:textFill>
        </w:rPr>
        <w:t xml:space="preserve">第四章 </w:t>
      </w:r>
      <w:r>
        <w:rPr>
          <w:rFonts w:hint="eastAsia" w:ascii="黑体" w:hAnsi="Calibri" w:eastAsia="黑体" w:cs="黑体"/>
          <w:color w:val="000000" w:themeColor="text1"/>
          <w:sz w:val="32"/>
          <w:szCs w:val="32"/>
          <w:highlight w:val="none"/>
          <w:u w:val="none"/>
          <w:lang w:val="en-US" w:eastAsia="zh-CN"/>
          <w14:textFill>
            <w14:solidFill>
              <w14:schemeClr w14:val="tx1"/>
            </w14:solidFill>
          </w14:textFill>
        </w:rPr>
        <w:t xml:space="preserve"> </w:t>
      </w:r>
      <w:r>
        <w:rPr>
          <w:rFonts w:hint="eastAsia" w:ascii="黑体" w:hAnsi="Calibri" w:eastAsia="黑体" w:cs="黑体"/>
          <w:color w:val="000000" w:themeColor="text1"/>
          <w:sz w:val="32"/>
          <w:szCs w:val="32"/>
          <w:highlight w:val="none"/>
          <w:u w:val="none"/>
          <w14:textFill>
            <w14:solidFill>
              <w14:schemeClr w14:val="tx1"/>
            </w14:solidFill>
          </w14:textFill>
        </w:rPr>
        <w:t>绩效评价指标、评价标准和方法</w:t>
      </w:r>
    </w:p>
    <w:p>
      <w:pPr>
        <w:keepNext w:val="0"/>
        <w:keepLines w:val="0"/>
        <w:pageBreakBefore w:val="0"/>
        <w:widowControl w:val="0"/>
        <w:kinsoku/>
        <w:wordWrap/>
        <w:overflowPunct/>
        <w:topLinePunct w:val="0"/>
        <w:autoSpaceDE/>
        <w:autoSpaceDN/>
        <w:bidi w:val="0"/>
        <w:spacing w:line="600" w:lineRule="exact"/>
        <w:ind w:firstLine="640"/>
        <w:textAlignment w:val="auto"/>
        <w:rPr>
          <w:rFonts w:hint="eastAsia" w:ascii="仿宋_GB2312" w:hAnsi="仿宋_GB2312" w:eastAsia="仿宋_GB2312" w:cs="仿宋_GB2312"/>
          <w:bCs/>
          <w:color w:val="auto"/>
          <w:sz w:val="32"/>
          <w:szCs w:val="32"/>
          <w:highlight w:val="none"/>
        </w:rPr>
      </w:pPr>
      <w:r>
        <w:rPr>
          <w:rFonts w:hint="eastAsia" w:ascii="黑体" w:hAnsi="黑体" w:eastAsia="黑体" w:cs="黑体"/>
          <w:b w:val="0"/>
          <w:bCs w:val="0"/>
          <w:color w:val="auto"/>
          <w:sz w:val="32"/>
          <w:szCs w:val="32"/>
          <w:highlight w:val="none"/>
        </w:rPr>
        <w:t>第十</w:t>
      </w:r>
      <w:r>
        <w:rPr>
          <w:rFonts w:hint="eastAsia" w:ascii="黑体" w:hAnsi="黑体" w:eastAsia="黑体" w:cs="黑体"/>
          <w:b w:val="0"/>
          <w:bCs w:val="0"/>
          <w:color w:val="auto"/>
          <w:sz w:val="32"/>
          <w:szCs w:val="32"/>
          <w:highlight w:val="none"/>
          <w:lang w:eastAsia="zh-CN"/>
        </w:rPr>
        <w:t>七</w:t>
      </w:r>
      <w:r>
        <w:rPr>
          <w:rFonts w:hint="eastAsia" w:ascii="黑体" w:hAnsi="黑体" w:eastAsia="黑体" w:cs="黑体"/>
          <w:b w:val="0"/>
          <w:bCs w:val="0"/>
          <w:color w:val="auto"/>
          <w:sz w:val="32"/>
          <w:szCs w:val="32"/>
          <w:highlight w:val="none"/>
        </w:rPr>
        <w:t>条</w:t>
      </w:r>
      <w:r>
        <w:rPr>
          <w:rFonts w:hint="eastAsia" w:ascii="仿宋_GB2312" w:hAnsi="仿宋_GB2312" w:eastAsia="仿宋_GB2312" w:cs="仿宋_GB2312"/>
          <w:b/>
          <w:bCs/>
          <w:color w:val="auto"/>
          <w:sz w:val="32"/>
          <w:szCs w:val="32"/>
          <w:highlight w:val="none"/>
        </w:rPr>
        <w:t xml:space="preserve"> </w:t>
      </w:r>
      <w:r>
        <w:rPr>
          <w:rFonts w:hint="eastAsia" w:ascii="仿宋_GB2312" w:hAnsi="仿宋_GB2312" w:eastAsia="仿宋_GB2312" w:cs="仿宋_GB2312"/>
          <w:bCs/>
          <w:color w:val="auto"/>
          <w:sz w:val="32"/>
          <w:szCs w:val="32"/>
          <w:highlight w:val="none"/>
        </w:rPr>
        <w:t>单位自评指标是指预算批复时确定的绩效指标，包括项目的产出数量、质量、时效、成本，以及经济效益、社会效益、生态效益、可持续影响、服务对象满意度等。</w:t>
      </w:r>
    </w:p>
    <w:p>
      <w:pPr>
        <w:keepNext w:val="0"/>
        <w:keepLines w:val="0"/>
        <w:pageBreakBefore w:val="0"/>
        <w:widowControl w:val="0"/>
        <w:kinsoku/>
        <w:wordWrap/>
        <w:overflowPunct/>
        <w:topLinePunct w:val="0"/>
        <w:autoSpaceDE/>
        <w:autoSpaceDN/>
        <w:bidi w:val="0"/>
        <w:spacing w:line="600" w:lineRule="exact"/>
        <w:ind w:firstLine="64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Cs/>
          <w:color w:val="auto"/>
          <w:sz w:val="32"/>
          <w:szCs w:val="32"/>
          <w:highlight w:val="none"/>
        </w:rPr>
        <w:t>单位自评指标的权重由各单位根据项目实际情况确定。原则上预算执行率和一级指标权重统一设置为:预算执行率10%、产出指标50%、效益指标30%、服务对象满意度指标10%。如有特殊情况，一级指标权重可做适当调整。二、三级指标应当根据指标重要程度、项目实施阶段等因素综合确定，准确反映项目的产出和效益。</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bCs/>
          <w:color w:val="auto"/>
          <w:sz w:val="32"/>
          <w:szCs w:val="32"/>
          <w:highlight w:val="none"/>
        </w:rPr>
      </w:pPr>
      <w:r>
        <w:rPr>
          <w:rFonts w:hint="eastAsia" w:ascii="黑体" w:hAnsi="黑体" w:eastAsia="黑体" w:cs="黑体"/>
          <w:b w:val="0"/>
          <w:bCs w:val="0"/>
          <w:color w:val="auto"/>
          <w:sz w:val="32"/>
          <w:szCs w:val="32"/>
          <w:highlight w:val="none"/>
        </w:rPr>
        <w:t>第十</w:t>
      </w:r>
      <w:r>
        <w:rPr>
          <w:rFonts w:hint="eastAsia" w:ascii="黑体" w:hAnsi="黑体" w:eastAsia="黑体" w:cs="黑体"/>
          <w:b w:val="0"/>
          <w:bCs w:val="0"/>
          <w:color w:val="auto"/>
          <w:sz w:val="32"/>
          <w:szCs w:val="32"/>
          <w:highlight w:val="none"/>
          <w:lang w:eastAsia="zh-CN"/>
        </w:rPr>
        <w:t>八</w:t>
      </w:r>
      <w:r>
        <w:rPr>
          <w:rFonts w:hint="eastAsia" w:ascii="黑体" w:hAnsi="黑体" w:eastAsia="黑体" w:cs="黑体"/>
          <w:b w:val="0"/>
          <w:bCs w:val="0"/>
          <w:color w:val="auto"/>
          <w:sz w:val="32"/>
          <w:szCs w:val="32"/>
          <w:highlight w:val="none"/>
        </w:rPr>
        <w:t>条</w:t>
      </w:r>
      <w:r>
        <w:rPr>
          <w:rFonts w:hint="eastAsia" w:ascii="仿宋_GB2312" w:hAnsi="仿宋_GB2312" w:eastAsia="仿宋_GB2312" w:cs="仿宋_GB2312"/>
          <w:bCs/>
          <w:color w:val="auto"/>
          <w:sz w:val="32"/>
          <w:szCs w:val="32"/>
          <w:highlight w:val="none"/>
        </w:rPr>
        <w:t xml:space="preserve"> 财政</w:t>
      </w:r>
      <w:r>
        <w:rPr>
          <w:rFonts w:hint="eastAsia" w:ascii="仿宋_GB2312" w:hAnsi="仿宋_GB2312" w:eastAsia="仿宋_GB2312" w:cs="仿宋_GB2312"/>
          <w:bCs/>
          <w:color w:val="auto"/>
          <w:sz w:val="32"/>
          <w:szCs w:val="32"/>
          <w:highlight w:val="none"/>
          <w:lang w:eastAsia="zh-CN"/>
        </w:rPr>
        <w:t>绩效评价指标</w:t>
      </w:r>
      <w:r>
        <w:rPr>
          <w:rFonts w:hint="eastAsia" w:ascii="仿宋_GB2312" w:hAnsi="仿宋_GB2312" w:eastAsia="仿宋_GB2312" w:cs="仿宋_GB2312"/>
          <w:bCs/>
          <w:color w:val="auto"/>
          <w:sz w:val="32"/>
          <w:szCs w:val="32"/>
          <w:highlight w:val="none"/>
        </w:rPr>
        <w:t>和部门绩效评价指标的确定应当符合以下要求：与评价对象密切相关，全面反映项目决策、项目和资金管理、产出和效益；优先选取最具代表性、最能直接反映产出和效益的核心指标，精简实用；指标内涵应当明确、具体、可衡量，数据及佐证资料应当可采集、可获得；同类项目绩效评价指标和标准应具有一致性，便于评价结果相互比较。</w:t>
      </w:r>
    </w:p>
    <w:p>
      <w:pPr>
        <w:keepNext w:val="0"/>
        <w:keepLines w:val="0"/>
        <w:pageBreakBefore w:val="0"/>
        <w:widowControl w:val="0"/>
        <w:kinsoku/>
        <w:wordWrap/>
        <w:overflowPunct/>
        <w:topLinePunct w:val="0"/>
        <w:autoSpaceDE/>
        <w:autoSpaceDN/>
        <w:bidi w:val="0"/>
        <w:spacing w:line="600" w:lineRule="exact"/>
        <w:ind w:firstLine="627" w:firstLineChars="196"/>
        <w:textAlignment w:val="auto"/>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color w:val="auto"/>
          <w:sz w:val="32"/>
          <w:szCs w:val="32"/>
          <w:highlight w:val="none"/>
        </w:rPr>
        <w:t>财政评价</w:t>
      </w:r>
      <w:r>
        <w:rPr>
          <w:rFonts w:hint="eastAsia" w:ascii="仿宋_GB2312" w:hAnsi="仿宋_GB2312" w:eastAsia="仿宋_GB2312" w:cs="仿宋_GB2312"/>
          <w:bCs/>
          <w:color w:val="auto"/>
          <w:sz w:val="32"/>
          <w:szCs w:val="32"/>
          <w:highlight w:val="none"/>
        </w:rPr>
        <w:t>指标</w:t>
      </w:r>
      <w:r>
        <w:rPr>
          <w:rFonts w:hint="eastAsia" w:ascii="仿宋_GB2312" w:hAnsi="仿宋_GB2312" w:eastAsia="仿宋_GB2312" w:cs="仿宋_GB2312"/>
          <w:color w:val="auto"/>
          <w:sz w:val="32"/>
          <w:szCs w:val="32"/>
          <w:highlight w:val="none"/>
        </w:rPr>
        <w:t>和部门评价</w:t>
      </w:r>
      <w:r>
        <w:rPr>
          <w:rFonts w:hint="eastAsia" w:ascii="仿宋_GB2312" w:hAnsi="仿宋_GB2312" w:eastAsia="仿宋_GB2312" w:cs="仿宋_GB2312"/>
          <w:bCs/>
          <w:color w:val="auto"/>
          <w:sz w:val="32"/>
          <w:szCs w:val="32"/>
          <w:highlight w:val="none"/>
        </w:rPr>
        <w:t>指标的权重根据各项指标在评价体系中的重要程度确定，应当突出结果导向，原则上产出、效益指标权重不低于60%。同一评价对象处于不同实施阶段时，指标权重应体现差异性，其中，实施期间的评价更加注重决策、过程和产出，实施期结束后的评价更加注重产出和效益。</w:t>
      </w:r>
    </w:p>
    <w:p>
      <w:pPr>
        <w:keepNext w:val="0"/>
        <w:keepLines w:val="0"/>
        <w:pageBreakBefore w:val="0"/>
        <w:widowControl w:val="0"/>
        <w:kinsoku/>
        <w:wordWrap/>
        <w:overflowPunct/>
        <w:topLinePunct w:val="0"/>
        <w:autoSpaceDE/>
        <w:autoSpaceDN/>
        <w:bidi w:val="0"/>
        <w:spacing w:line="600" w:lineRule="exact"/>
        <w:ind w:firstLine="640"/>
        <w:textAlignment w:val="auto"/>
        <w:rPr>
          <w:rFonts w:hint="eastAsia" w:ascii="仿宋_GB2312" w:hAnsi="仿宋_GB2312" w:eastAsia="仿宋_GB2312" w:cs="仿宋_GB2312"/>
          <w:bCs/>
          <w:color w:val="auto"/>
          <w:sz w:val="32"/>
          <w:szCs w:val="32"/>
          <w:highlight w:val="none"/>
        </w:rPr>
      </w:pPr>
      <w:r>
        <w:rPr>
          <w:rFonts w:hint="eastAsia" w:ascii="黑体" w:hAnsi="黑体" w:eastAsia="黑体" w:cs="黑体"/>
          <w:b w:val="0"/>
          <w:bCs w:val="0"/>
          <w:color w:val="auto"/>
          <w:sz w:val="32"/>
          <w:szCs w:val="32"/>
          <w:highlight w:val="none"/>
        </w:rPr>
        <w:t>第十</w:t>
      </w:r>
      <w:r>
        <w:rPr>
          <w:rFonts w:hint="eastAsia" w:ascii="黑体" w:hAnsi="黑体" w:eastAsia="黑体" w:cs="黑体"/>
          <w:b w:val="0"/>
          <w:bCs w:val="0"/>
          <w:color w:val="auto"/>
          <w:sz w:val="32"/>
          <w:szCs w:val="32"/>
          <w:highlight w:val="none"/>
          <w:lang w:eastAsia="zh-CN"/>
        </w:rPr>
        <w:t>九</w:t>
      </w:r>
      <w:r>
        <w:rPr>
          <w:rFonts w:hint="eastAsia" w:ascii="黑体" w:hAnsi="黑体" w:eastAsia="黑体" w:cs="黑体"/>
          <w:b w:val="0"/>
          <w:bCs w:val="0"/>
          <w:color w:val="auto"/>
          <w:sz w:val="32"/>
          <w:szCs w:val="32"/>
          <w:highlight w:val="none"/>
        </w:rPr>
        <w:t>条</w:t>
      </w:r>
      <w:r>
        <w:rPr>
          <w:rFonts w:hint="eastAsia" w:ascii="仿宋_GB2312" w:hAnsi="仿宋_GB2312" w:eastAsia="仿宋_GB2312" w:cs="仿宋_GB2312"/>
          <w:b/>
          <w:bCs/>
          <w:color w:val="auto"/>
          <w:sz w:val="32"/>
          <w:szCs w:val="32"/>
          <w:highlight w:val="none"/>
        </w:rPr>
        <w:t xml:space="preserve"> </w:t>
      </w:r>
      <w:r>
        <w:rPr>
          <w:rFonts w:hint="eastAsia" w:ascii="仿宋_GB2312" w:hAnsi="仿宋_GB2312" w:eastAsia="仿宋_GB2312" w:cs="仿宋_GB2312"/>
          <w:bCs/>
          <w:color w:val="auto"/>
          <w:sz w:val="32"/>
          <w:szCs w:val="32"/>
          <w:highlight w:val="none"/>
        </w:rPr>
        <w:t>绩效评价标准通常包括计划标准、行业标准、历史标准等，用于对绩效指标完成情况进行比较。</w:t>
      </w:r>
    </w:p>
    <w:p>
      <w:pPr>
        <w:keepNext w:val="0"/>
        <w:keepLines w:val="0"/>
        <w:pageBreakBefore w:val="0"/>
        <w:widowControl w:val="0"/>
        <w:kinsoku/>
        <w:wordWrap/>
        <w:overflowPunct/>
        <w:topLinePunct w:val="0"/>
        <w:autoSpaceDE/>
        <w:autoSpaceDN/>
        <w:bidi w:val="0"/>
        <w:spacing w:line="600" w:lineRule="exact"/>
        <w:ind w:firstLine="640"/>
        <w:textAlignment w:val="auto"/>
        <w:rPr>
          <w:rFonts w:hint="eastAsia" w:ascii="仿宋_GB2312" w:hAnsi="仿宋_GB2312" w:eastAsia="仿宋_GB2312" w:cs="仿宋_GB2312"/>
          <w:bCs/>
          <w:color w:val="auto"/>
          <w:sz w:val="30"/>
          <w:szCs w:val="30"/>
          <w:highlight w:val="none"/>
        </w:rPr>
      </w:pPr>
      <w:r>
        <w:rPr>
          <w:rFonts w:hint="eastAsia" w:ascii="仿宋_GB2312" w:hAnsi="仿宋_GB2312" w:eastAsia="仿宋_GB2312" w:cs="仿宋_GB2312"/>
          <w:bCs/>
          <w:color w:val="auto"/>
          <w:sz w:val="30"/>
          <w:szCs w:val="30"/>
          <w:highlight w:val="none"/>
        </w:rPr>
        <w:t>（一）计划标准。指以预先制定的目标、计划、预算、定额等作为评价标准。</w:t>
      </w:r>
    </w:p>
    <w:p>
      <w:pPr>
        <w:keepNext w:val="0"/>
        <w:keepLines w:val="0"/>
        <w:pageBreakBefore w:val="0"/>
        <w:widowControl w:val="0"/>
        <w:kinsoku/>
        <w:wordWrap/>
        <w:overflowPunct/>
        <w:topLinePunct w:val="0"/>
        <w:autoSpaceDE/>
        <w:autoSpaceDN/>
        <w:bidi w:val="0"/>
        <w:spacing w:line="600" w:lineRule="exact"/>
        <w:ind w:firstLine="640"/>
        <w:textAlignment w:val="auto"/>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（二）行业标准。指参照国家公布的行业指标数据制定的评价标准。</w:t>
      </w:r>
    </w:p>
    <w:p>
      <w:pPr>
        <w:keepNext w:val="0"/>
        <w:keepLines w:val="0"/>
        <w:pageBreakBefore w:val="0"/>
        <w:widowControl w:val="0"/>
        <w:kinsoku/>
        <w:wordWrap/>
        <w:overflowPunct/>
        <w:topLinePunct w:val="0"/>
        <w:autoSpaceDE/>
        <w:autoSpaceDN/>
        <w:bidi w:val="0"/>
        <w:spacing w:line="600" w:lineRule="exact"/>
        <w:ind w:firstLine="640"/>
        <w:textAlignment w:val="auto"/>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（三）历史标准。指参照历史数据制定的评价标准，为体现绩效改进的原则，在可实现的条件下应当确定相对较高的评价标准。</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（四）财政部门和预算部门确认或认可的其他标准。</w:t>
      </w:r>
    </w:p>
    <w:p>
      <w:pPr>
        <w:keepNext w:val="0"/>
        <w:keepLines w:val="0"/>
        <w:pageBreakBefore w:val="0"/>
        <w:widowControl w:val="0"/>
        <w:kinsoku/>
        <w:wordWrap/>
        <w:overflowPunct/>
        <w:topLinePunct w:val="0"/>
        <w:autoSpaceDE/>
        <w:autoSpaceDN/>
        <w:bidi w:val="0"/>
        <w:spacing w:line="600" w:lineRule="exact"/>
        <w:ind w:firstLine="640"/>
        <w:textAlignment w:val="auto"/>
        <w:rPr>
          <w:rFonts w:hint="eastAsia" w:ascii="仿宋_GB2312" w:hAnsi="仿宋_GB2312" w:eastAsia="仿宋_GB2312" w:cs="仿宋_GB2312"/>
          <w:bCs/>
          <w:color w:val="auto"/>
          <w:sz w:val="32"/>
          <w:szCs w:val="32"/>
          <w:highlight w:val="none"/>
        </w:rPr>
      </w:pPr>
      <w:r>
        <w:rPr>
          <w:rFonts w:hint="eastAsia" w:ascii="黑体" w:hAnsi="黑体" w:eastAsia="黑体" w:cs="黑体"/>
          <w:b w:val="0"/>
          <w:bCs w:val="0"/>
          <w:color w:val="auto"/>
          <w:sz w:val="32"/>
          <w:szCs w:val="32"/>
          <w:highlight w:val="none"/>
        </w:rPr>
        <w:t>第</w:t>
      </w:r>
      <w:r>
        <w:rPr>
          <w:rFonts w:hint="eastAsia" w:ascii="黑体" w:hAnsi="黑体" w:eastAsia="黑体" w:cs="黑体"/>
          <w:b w:val="0"/>
          <w:bCs w:val="0"/>
          <w:color w:val="auto"/>
          <w:sz w:val="32"/>
          <w:szCs w:val="32"/>
          <w:highlight w:val="none"/>
          <w:lang w:eastAsia="zh-CN"/>
        </w:rPr>
        <w:t>二</w:t>
      </w:r>
      <w:r>
        <w:rPr>
          <w:rFonts w:hint="eastAsia" w:ascii="黑体" w:hAnsi="黑体" w:eastAsia="黑体" w:cs="黑体"/>
          <w:b w:val="0"/>
          <w:bCs w:val="0"/>
          <w:color w:val="auto"/>
          <w:sz w:val="32"/>
          <w:szCs w:val="32"/>
          <w:highlight w:val="none"/>
        </w:rPr>
        <w:t>十条</w:t>
      </w:r>
      <w:r>
        <w:rPr>
          <w:rFonts w:hint="eastAsia" w:ascii="仿宋_GB2312" w:hAnsi="仿宋_GB2312" w:eastAsia="仿宋_GB2312" w:cs="仿宋_GB2312"/>
          <w:b/>
          <w:bCs/>
          <w:color w:val="auto"/>
          <w:sz w:val="32"/>
          <w:szCs w:val="32"/>
          <w:highlight w:val="none"/>
        </w:rPr>
        <w:t xml:space="preserve"> </w:t>
      </w:r>
      <w:r>
        <w:rPr>
          <w:rFonts w:hint="eastAsia" w:ascii="仿宋_GB2312" w:hAnsi="仿宋_GB2312" w:eastAsia="仿宋_GB2312" w:cs="仿宋_GB2312"/>
          <w:bCs/>
          <w:color w:val="auto"/>
          <w:sz w:val="32"/>
          <w:szCs w:val="32"/>
          <w:highlight w:val="none"/>
        </w:rPr>
        <w:t>单位自评采用定量与定性评价相结合的比较法，总分由各项指标得分汇总形成。</w:t>
      </w:r>
    </w:p>
    <w:p>
      <w:pPr>
        <w:keepNext w:val="0"/>
        <w:keepLines w:val="0"/>
        <w:pageBreakBefore w:val="0"/>
        <w:widowControl w:val="0"/>
        <w:kinsoku/>
        <w:wordWrap/>
        <w:overflowPunct/>
        <w:topLinePunct w:val="0"/>
        <w:autoSpaceDE/>
        <w:autoSpaceDN/>
        <w:bidi w:val="0"/>
        <w:spacing w:line="600" w:lineRule="exact"/>
        <w:ind w:firstLine="640"/>
        <w:textAlignment w:val="auto"/>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定量指标得分按照以下方法评定：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keepNext w:val="0"/>
        <w:keepLines w:val="0"/>
        <w:pageBreakBefore w:val="0"/>
        <w:widowControl w:val="0"/>
        <w:kinsoku/>
        <w:wordWrap/>
        <w:overflowPunct/>
        <w:topLinePunct w:val="0"/>
        <w:autoSpaceDE/>
        <w:autoSpaceDN/>
        <w:bidi w:val="0"/>
        <w:spacing w:line="600" w:lineRule="exact"/>
        <w:ind w:firstLine="64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Cs/>
          <w:color w:val="auto"/>
          <w:sz w:val="32"/>
          <w:szCs w:val="32"/>
          <w:highlight w:val="none"/>
        </w:rPr>
        <w:t>定性指标得分按照以下方法评定：根据指标完成情况分为达成年度指标、部分达成年度指标并具有一定效果、未达成年度指标且效果较差三档，分别按照该指标对应分值区间100%-80%（含）、80%-60%（含）、60%-0%合理确定分值。</w:t>
      </w:r>
    </w:p>
    <w:p>
      <w:pPr>
        <w:keepNext w:val="0"/>
        <w:keepLines w:val="0"/>
        <w:pageBreakBefore w:val="0"/>
        <w:widowControl w:val="0"/>
        <w:kinsoku/>
        <w:wordWrap/>
        <w:overflowPunct/>
        <w:topLinePunct w:val="0"/>
        <w:autoSpaceDE/>
        <w:autoSpaceDN/>
        <w:bidi w:val="0"/>
        <w:spacing w:line="600" w:lineRule="exact"/>
        <w:ind w:firstLine="640"/>
        <w:textAlignment w:val="auto"/>
        <w:rPr>
          <w:rFonts w:hint="eastAsia" w:ascii="仿宋_GB2312" w:hAnsi="仿宋_GB2312" w:eastAsia="仿宋_GB2312" w:cs="仿宋_GB2312"/>
          <w:bCs/>
          <w:color w:val="auto"/>
          <w:sz w:val="32"/>
          <w:szCs w:val="32"/>
          <w:highlight w:val="none"/>
        </w:rPr>
      </w:pPr>
      <w:r>
        <w:rPr>
          <w:rFonts w:hint="eastAsia" w:ascii="黑体" w:hAnsi="黑体" w:eastAsia="黑体" w:cs="黑体"/>
          <w:b w:val="0"/>
          <w:bCs w:val="0"/>
          <w:color w:val="auto"/>
          <w:sz w:val="32"/>
          <w:szCs w:val="32"/>
          <w:highlight w:val="none"/>
        </w:rPr>
        <w:t>第</w:t>
      </w:r>
      <w:r>
        <w:rPr>
          <w:rFonts w:hint="eastAsia" w:ascii="黑体" w:hAnsi="黑体" w:eastAsia="黑体" w:cs="黑体"/>
          <w:b w:val="0"/>
          <w:bCs w:val="0"/>
          <w:color w:val="auto"/>
          <w:sz w:val="32"/>
          <w:szCs w:val="32"/>
          <w:highlight w:val="none"/>
          <w:lang w:eastAsia="zh-CN"/>
        </w:rPr>
        <w:t>二</w:t>
      </w:r>
      <w:r>
        <w:rPr>
          <w:rFonts w:hint="eastAsia" w:ascii="黑体" w:hAnsi="黑体" w:eastAsia="黑体" w:cs="黑体"/>
          <w:b w:val="0"/>
          <w:bCs w:val="0"/>
          <w:color w:val="auto"/>
          <w:sz w:val="32"/>
          <w:szCs w:val="32"/>
          <w:highlight w:val="none"/>
        </w:rPr>
        <w:t>十</w:t>
      </w:r>
      <w:r>
        <w:rPr>
          <w:rFonts w:hint="eastAsia" w:ascii="黑体" w:hAnsi="黑体" w:eastAsia="黑体" w:cs="黑体"/>
          <w:b w:val="0"/>
          <w:bCs w:val="0"/>
          <w:color w:val="auto"/>
          <w:sz w:val="32"/>
          <w:szCs w:val="32"/>
          <w:highlight w:val="none"/>
          <w:lang w:eastAsia="zh-CN"/>
        </w:rPr>
        <w:t>一</w:t>
      </w:r>
      <w:r>
        <w:rPr>
          <w:rFonts w:hint="eastAsia" w:ascii="黑体" w:hAnsi="黑体" w:eastAsia="黑体" w:cs="黑体"/>
          <w:b w:val="0"/>
          <w:bCs w:val="0"/>
          <w:color w:val="auto"/>
          <w:sz w:val="32"/>
          <w:szCs w:val="32"/>
          <w:highlight w:val="none"/>
        </w:rPr>
        <w:t>条</w:t>
      </w:r>
      <w:r>
        <w:rPr>
          <w:rFonts w:hint="eastAsia" w:ascii="仿宋_GB2312" w:hAnsi="仿宋_GB2312" w:eastAsia="仿宋_GB2312" w:cs="仿宋_GB2312"/>
          <w:b/>
          <w:bCs/>
          <w:color w:val="auto"/>
          <w:sz w:val="32"/>
          <w:szCs w:val="32"/>
          <w:highlight w:val="none"/>
        </w:rPr>
        <w:t xml:space="preserve">  </w:t>
      </w:r>
      <w:r>
        <w:rPr>
          <w:rFonts w:hint="eastAsia" w:ascii="仿宋_GB2312" w:hAnsi="仿宋_GB2312" w:eastAsia="仿宋_GB2312" w:cs="仿宋_GB2312"/>
          <w:bCs/>
          <w:color w:val="auto"/>
          <w:sz w:val="32"/>
          <w:szCs w:val="32"/>
          <w:highlight w:val="none"/>
        </w:rPr>
        <w:t>财政和部门评价的方法主要包括成本效益分析法、比较法、因素分析法、最低成本法、公众评判法、标杆管理法等。根据评价对象的具体情况，可采用一种或多种方法。</w:t>
      </w:r>
    </w:p>
    <w:p>
      <w:pPr>
        <w:keepNext w:val="0"/>
        <w:keepLines w:val="0"/>
        <w:pageBreakBefore w:val="0"/>
        <w:widowControl w:val="0"/>
        <w:kinsoku/>
        <w:wordWrap/>
        <w:overflowPunct/>
        <w:topLinePunct w:val="0"/>
        <w:autoSpaceDE/>
        <w:autoSpaceDN/>
        <w:bidi w:val="0"/>
        <w:spacing w:line="600" w:lineRule="exact"/>
        <w:ind w:firstLine="640"/>
        <w:textAlignment w:val="auto"/>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 xml:space="preserve">（一）成本效益分析法。是指将投入与产出、效益进行关联性分析的方法。 </w:t>
      </w:r>
    </w:p>
    <w:p>
      <w:pPr>
        <w:keepNext w:val="0"/>
        <w:keepLines w:val="0"/>
        <w:pageBreakBefore w:val="0"/>
        <w:widowControl w:val="0"/>
        <w:kinsoku/>
        <w:wordWrap/>
        <w:overflowPunct/>
        <w:topLinePunct w:val="0"/>
        <w:autoSpaceDE/>
        <w:autoSpaceDN/>
        <w:bidi w:val="0"/>
        <w:spacing w:line="600" w:lineRule="exact"/>
        <w:ind w:firstLine="649" w:firstLineChars="203"/>
        <w:textAlignment w:val="auto"/>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（二）比较法。是指将实施情况与绩效目标、历史情况、不同部门和地区同类支出情况进行比较的方法。</w:t>
      </w:r>
    </w:p>
    <w:p>
      <w:pPr>
        <w:keepNext w:val="0"/>
        <w:keepLines w:val="0"/>
        <w:pageBreakBefore w:val="0"/>
        <w:widowControl w:val="0"/>
        <w:kinsoku/>
        <w:wordWrap/>
        <w:overflowPunct/>
        <w:topLinePunct w:val="0"/>
        <w:autoSpaceDE/>
        <w:autoSpaceDN/>
        <w:bidi w:val="0"/>
        <w:spacing w:line="600" w:lineRule="exact"/>
        <w:ind w:firstLine="640"/>
        <w:textAlignment w:val="auto"/>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（三）因素分析法。是指综合分析影响绩效目标实现、实施效果的内外部因素的方法。</w:t>
      </w:r>
    </w:p>
    <w:p>
      <w:pPr>
        <w:keepNext w:val="0"/>
        <w:keepLines w:val="0"/>
        <w:pageBreakBefore w:val="0"/>
        <w:widowControl w:val="0"/>
        <w:kinsoku/>
        <w:wordWrap/>
        <w:overflowPunct/>
        <w:topLinePunct w:val="0"/>
        <w:autoSpaceDE/>
        <w:autoSpaceDN/>
        <w:bidi w:val="0"/>
        <w:spacing w:line="600" w:lineRule="exact"/>
        <w:ind w:firstLine="640"/>
        <w:textAlignment w:val="auto"/>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（四）最低成本法。是指在绩效目标确定的前提下，成本最小者为优的方法。</w:t>
      </w:r>
    </w:p>
    <w:p>
      <w:pPr>
        <w:keepNext w:val="0"/>
        <w:keepLines w:val="0"/>
        <w:pageBreakBefore w:val="0"/>
        <w:widowControl w:val="0"/>
        <w:kinsoku/>
        <w:wordWrap/>
        <w:overflowPunct/>
        <w:topLinePunct w:val="0"/>
        <w:autoSpaceDE/>
        <w:autoSpaceDN/>
        <w:bidi w:val="0"/>
        <w:spacing w:line="600" w:lineRule="exact"/>
        <w:ind w:firstLine="640"/>
        <w:textAlignment w:val="auto"/>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（五）公众评判法。是指通过专家评估、公众问卷及抽样调查等方式进行评判的方法。</w:t>
      </w:r>
    </w:p>
    <w:p>
      <w:pPr>
        <w:keepNext w:val="0"/>
        <w:keepLines w:val="0"/>
        <w:pageBreakBefore w:val="0"/>
        <w:widowControl w:val="0"/>
        <w:kinsoku/>
        <w:wordWrap/>
        <w:overflowPunct/>
        <w:topLinePunct w:val="0"/>
        <w:autoSpaceDE/>
        <w:autoSpaceDN/>
        <w:bidi w:val="0"/>
        <w:spacing w:line="600" w:lineRule="exact"/>
        <w:ind w:firstLine="640"/>
        <w:textAlignment w:val="auto"/>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（六）标杆管理法。是指以国内外同行业中较高的绩效水平为标杆进行评判的方法。</w:t>
      </w:r>
    </w:p>
    <w:p>
      <w:pPr>
        <w:keepNext w:val="0"/>
        <w:keepLines w:val="0"/>
        <w:pageBreakBefore w:val="0"/>
        <w:widowControl w:val="0"/>
        <w:kinsoku/>
        <w:wordWrap/>
        <w:overflowPunct/>
        <w:topLinePunct w:val="0"/>
        <w:autoSpaceDE/>
        <w:autoSpaceDN/>
        <w:bidi w:val="0"/>
        <w:spacing w:line="600" w:lineRule="exact"/>
        <w:ind w:firstLine="640"/>
        <w:textAlignment w:val="auto"/>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（七）其他评价方法。</w:t>
      </w:r>
    </w:p>
    <w:p>
      <w:pPr>
        <w:keepNext w:val="0"/>
        <w:keepLines w:val="0"/>
        <w:pageBreakBefore w:val="0"/>
        <w:widowControl w:val="0"/>
        <w:kinsoku/>
        <w:wordWrap/>
        <w:overflowPunct/>
        <w:topLinePunct w:val="0"/>
        <w:autoSpaceDE/>
        <w:autoSpaceDN/>
        <w:bidi w:val="0"/>
        <w:spacing w:line="600" w:lineRule="exact"/>
        <w:ind w:firstLine="640"/>
        <w:textAlignment w:val="auto"/>
        <w:rPr>
          <w:rFonts w:hint="eastAsia" w:ascii="仿宋_GB2312" w:hAnsi="仿宋_GB2312" w:eastAsia="仿宋_GB2312" w:cs="仿宋_GB2312"/>
          <w:bCs/>
          <w:color w:val="auto"/>
          <w:sz w:val="32"/>
          <w:szCs w:val="32"/>
          <w:highlight w:val="none"/>
        </w:rPr>
      </w:pPr>
      <w:r>
        <w:rPr>
          <w:rFonts w:hint="eastAsia" w:ascii="黑体" w:hAnsi="黑体" w:eastAsia="黑体" w:cs="黑体"/>
          <w:b w:val="0"/>
          <w:bCs w:val="0"/>
          <w:color w:val="auto"/>
          <w:sz w:val="32"/>
          <w:szCs w:val="32"/>
          <w:highlight w:val="none"/>
        </w:rPr>
        <w:t>第</w:t>
      </w:r>
      <w:r>
        <w:rPr>
          <w:rFonts w:hint="eastAsia" w:ascii="黑体" w:hAnsi="黑体" w:eastAsia="黑体" w:cs="黑体"/>
          <w:b w:val="0"/>
          <w:bCs w:val="0"/>
          <w:color w:val="auto"/>
          <w:sz w:val="32"/>
          <w:szCs w:val="32"/>
          <w:highlight w:val="none"/>
          <w:lang w:eastAsia="zh-CN"/>
        </w:rPr>
        <w:t>二十二</w:t>
      </w:r>
      <w:r>
        <w:rPr>
          <w:rFonts w:hint="eastAsia" w:ascii="黑体" w:hAnsi="黑体" w:eastAsia="黑体" w:cs="黑体"/>
          <w:b w:val="0"/>
          <w:bCs w:val="0"/>
          <w:color w:val="auto"/>
          <w:sz w:val="32"/>
          <w:szCs w:val="32"/>
          <w:highlight w:val="none"/>
        </w:rPr>
        <w:t>条</w:t>
      </w:r>
      <w:r>
        <w:rPr>
          <w:rFonts w:hint="eastAsia" w:ascii="仿宋_GB2312" w:hAnsi="仿宋_GB2312" w:eastAsia="仿宋_GB2312" w:cs="仿宋_GB2312"/>
          <w:b/>
          <w:bCs/>
          <w:color w:val="auto"/>
          <w:sz w:val="32"/>
          <w:szCs w:val="32"/>
          <w:highlight w:val="none"/>
        </w:rPr>
        <w:t xml:space="preserve"> </w:t>
      </w:r>
      <w:r>
        <w:rPr>
          <w:rFonts w:hint="eastAsia" w:ascii="仿宋_GB2312" w:hAnsi="仿宋_GB2312" w:eastAsia="仿宋_GB2312" w:cs="仿宋_GB2312"/>
          <w:color w:val="auto"/>
          <w:sz w:val="32"/>
          <w:szCs w:val="32"/>
          <w:highlight w:val="none"/>
        </w:rPr>
        <w:t>绩效评价结果采取评分和评级相结合的方式，具体分值和等级可根据</w:t>
      </w:r>
      <w:r>
        <w:rPr>
          <w:rFonts w:hint="eastAsia" w:ascii="仿宋_GB2312" w:hAnsi="仿宋_GB2312" w:eastAsia="仿宋_GB2312" w:cs="仿宋_GB2312"/>
          <w:bCs/>
          <w:color w:val="auto"/>
          <w:sz w:val="32"/>
          <w:szCs w:val="32"/>
          <w:highlight w:val="none"/>
        </w:rPr>
        <w:t>不同评价内容设定。总分一般设置为100分，等级一般划分为四档：</w:t>
      </w:r>
      <w:r>
        <w:rPr>
          <w:rFonts w:hint="eastAsia" w:ascii="仿宋_GB2312" w:hAnsi="仿宋_GB2312" w:eastAsia="仿宋_GB2312" w:cs="仿宋_GB2312"/>
          <w:color w:val="auto"/>
          <w:sz w:val="32"/>
          <w:szCs w:val="32"/>
          <w:highlight w:val="none"/>
        </w:rPr>
        <w:t>90（含）-100分为优、80（含）-90分为良、60（含）-80分为中、60分以下为差。</w:t>
      </w:r>
    </w:p>
    <w:p>
      <w:pPr>
        <w:keepNext w:val="0"/>
        <w:keepLines w:val="0"/>
        <w:pageBreakBefore w:val="0"/>
        <w:widowControl w:val="0"/>
        <w:kinsoku/>
        <w:wordWrap/>
        <w:overflowPunct/>
        <w:topLinePunct w:val="0"/>
        <w:autoSpaceDE/>
        <w:autoSpaceDN/>
        <w:bidi w:val="0"/>
        <w:adjustRightInd w:val="0"/>
        <w:snapToGrid w:val="0"/>
        <w:spacing w:before="313" w:beforeLines="100" w:after="313" w:afterLines="100" w:line="560" w:lineRule="exact"/>
        <w:jc w:val="center"/>
        <w:textAlignment w:val="auto"/>
        <w:rPr>
          <w:rFonts w:hint="eastAsia" w:ascii="黑体" w:hAnsi="Calibri" w:eastAsia="黑体" w:cs="黑体"/>
          <w:color w:val="000000" w:themeColor="text1"/>
          <w:sz w:val="32"/>
          <w:szCs w:val="32"/>
          <w:highlight w:val="none"/>
          <w:u w:val="none"/>
          <w14:textFill>
            <w14:solidFill>
              <w14:schemeClr w14:val="tx1"/>
            </w14:solidFill>
          </w14:textFill>
        </w:rPr>
      </w:pPr>
      <w:r>
        <w:rPr>
          <w:rFonts w:hint="eastAsia" w:ascii="黑体" w:hAnsi="Calibri" w:eastAsia="黑体" w:cs="黑体"/>
          <w:color w:val="000000" w:themeColor="text1"/>
          <w:sz w:val="32"/>
          <w:szCs w:val="32"/>
          <w:highlight w:val="none"/>
          <w:u w:val="none"/>
          <w14:textFill>
            <w14:solidFill>
              <w14:schemeClr w14:val="tx1"/>
            </w14:solidFill>
          </w14:textFill>
        </w:rPr>
        <w:t>第五章</w:t>
      </w:r>
      <w:r>
        <w:rPr>
          <w:rFonts w:hint="eastAsia" w:ascii="黑体" w:hAnsi="Calibri" w:eastAsia="黑体" w:cs="黑体"/>
          <w:color w:val="000000" w:themeColor="text1"/>
          <w:sz w:val="32"/>
          <w:szCs w:val="32"/>
          <w:highlight w:val="none"/>
          <w:u w:val="none"/>
          <w:lang w:val="en-US" w:eastAsia="zh-CN"/>
          <w14:textFill>
            <w14:solidFill>
              <w14:schemeClr w14:val="tx1"/>
            </w14:solidFill>
          </w14:textFill>
        </w:rPr>
        <w:t xml:space="preserve">  </w:t>
      </w:r>
      <w:r>
        <w:rPr>
          <w:rFonts w:hint="eastAsia" w:ascii="黑体" w:hAnsi="Calibri" w:eastAsia="黑体" w:cs="黑体"/>
          <w:color w:val="000000" w:themeColor="text1"/>
          <w:sz w:val="32"/>
          <w:szCs w:val="32"/>
          <w:highlight w:val="none"/>
          <w:u w:val="none"/>
          <w14:textFill>
            <w14:solidFill>
              <w14:schemeClr w14:val="tx1"/>
            </w14:solidFill>
          </w14:textFill>
        </w:rPr>
        <w:t>绩效评价的</w:t>
      </w:r>
      <w:r>
        <w:rPr>
          <w:rFonts w:hint="eastAsia" w:ascii="黑体" w:hAnsi="Calibri" w:eastAsia="黑体" w:cs="黑体"/>
          <w:color w:val="000000" w:themeColor="text1"/>
          <w:sz w:val="32"/>
          <w:szCs w:val="32"/>
          <w:highlight w:val="none"/>
          <w:u w:val="none"/>
          <w:lang w:val="en-US" w:eastAsia="zh-CN"/>
          <w14:textFill>
            <w14:solidFill>
              <w14:schemeClr w14:val="tx1"/>
            </w14:solidFill>
          </w14:textFill>
        </w:rPr>
        <w:t>组织管理与实施</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lang w:eastAsia="zh-CN"/>
        </w:rPr>
        <w:t>第二十三条</w:t>
      </w:r>
      <w:r>
        <w:rPr>
          <w:rFonts w:hint="eastAsia" w:ascii="仿宋_GB2312" w:hAnsi="仿宋_GB2312" w:eastAsia="仿宋_GB2312" w:cs="仿宋_GB2312"/>
          <w:b/>
          <w:bCs/>
          <w:color w:val="auto"/>
          <w:sz w:val="32"/>
          <w:szCs w:val="32"/>
          <w:highlight w:val="none"/>
          <w:lang w:val="en-US" w:eastAsia="zh-CN"/>
        </w:rPr>
        <w:t xml:space="preserve"> </w:t>
      </w:r>
      <w:r>
        <w:rPr>
          <w:rFonts w:hint="eastAsia" w:ascii="仿宋_GB2312" w:hAnsi="仿宋_GB2312" w:eastAsia="仿宋_GB2312" w:cs="仿宋_GB2312"/>
          <w:b w:val="0"/>
          <w:bCs w:val="0"/>
          <w:color w:val="auto"/>
          <w:sz w:val="32"/>
          <w:szCs w:val="32"/>
          <w:highlight w:val="none"/>
          <w:lang w:val="en-US" w:eastAsia="zh-CN"/>
        </w:rPr>
        <w:t>单位自评工作程序是指对绩效目标完成情况进行自我评价的工作流程，一般分为准备、自评分析、总结三个阶段。</w:t>
      </w:r>
    </w:p>
    <w:p>
      <w:pPr>
        <w:keepNext w:val="0"/>
        <w:keepLines w:val="0"/>
        <w:pageBreakBefore w:val="0"/>
        <w:widowControl w:val="0"/>
        <w:kinsoku/>
        <w:wordWrap/>
        <w:overflowPunct/>
        <w:topLinePunct w:val="0"/>
        <w:autoSpaceDE/>
        <w:autoSpaceDN/>
        <w:bidi w:val="0"/>
        <w:spacing w:line="600" w:lineRule="exact"/>
        <w:ind w:firstLine="643" w:firstLineChars="200"/>
        <w:textAlignment w:val="auto"/>
        <w:rPr>
          <w:rFonts w:hint="eastAsia" w:ascii="楷体" w:hAnsi="楷体" w:eastAsia="楷体" w:cs="楷体"/>
          <w:b/>
          <w:bCs/>
          <w:color w:val="auto"/>
          <w:sz w:val="32"/>
          <w:szCs w:val="32"/>
          <w:highlight w:val="none"/>
          <w:lang w:val="en-US" w:eastAsia="zh-CN"/>
        </w:rPr>
      </w:pPr>
      <w:r>
        <w:rPr>
          <w:rFonts w:hint="eastAsia" w:ascii="楷体" w:hAnsi="楷体" w:eastAsia="楷体" w:cs="楷体"/>
          <w:b/>
          <w:bCs/>
          <w:color w:val="auto"/>
          <w:sz w:val="32"/>
          <w:szCs w:val="32"/>
          <w:highlight w:val="none"/>
          <w:lang w:val="en-US" w:eastAsia="zh-CN"/>
        </w:rPr>
        <w:t>（一）准备阶段</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1.预算部门下达自评通知，明确自评范围，组织部门本级和所属单位开展自评工作。</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2.自评单位拟定自评方案，根据批复的项目绩效目标，收集绩效目标实现程度、预算执行进度等数据资料。</w:t>
      </w:r>
    </w:p>
    <w:p>
      <w:pPr>
        <w:keepNext w:val="0"/>
        <w:keepLines w:val="0"/>
        <w:pageBreakBefore w:val="0"/>
        <w:widowControl w:val="0"/>
        <w:kinsoku/>
        <w:wordWrap/>
        <w:overflowPunct/>
        <w:topLinePunct w:val="0"/>
        <w:autoSpaceDE/>
        <w:autoSpaceDN/>
        <w:bidi w:val="0"/>
        <w:spacing w:line="600" w:lineRule="exact"/>
        <w:ind w:firstLine="643" w:firstLineChars="200"/>
        <w:textAlignment w:val="auto"/>
        <w:rPr>
          <w:rFonts w:hint="eastAsia" w:ascii="楷体" w:hAnsi="楷体" w:eastAsia="楷体" w:cs="楷体"/>
          <w:b/>
          <w:bCs/>
          <w:color w:val="auto"/>
          <w:sz w:val="32"/>
          <w:szCs w:val="32"/>
          <w:highlight w:val="none"/>
          <w:lang w:val="en-US" w:eastAsia="zh-CN"/>
        </w:rPr>
      </w:pPr>
      <w:r>
        <w:rPr>
          <w:rFonts w:hint="eastAsia" w:ascii="楷体" w:hAnsi="楷体" w:eastAsia="楷体" w:cs="楷体"/>
          <w:b/>
          <w:bCs/>
          <w:color w:val="auto"/>
          <w:sz w:val="32"/>
          <w:szCs w:val="32"/>
          <w:highlight w:val="none"/>
          <w:lang w:val="en-US" w:eastAsia="zh-CN"/>
        </w:rPr>
        <w:t>（二）自评分析阶段</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1.综合考虑绩效指标的重要程度、项目实施阶段等因素，合理确定各项指标的权重分值。</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2.对项目开展评价分析，填写年度总体绩效目标、具体绩效指标完成情况和预算执行情况，按照计算规则对各项指标进行评判打分。</w:t>
      </w:r>
    </w:p>
    <w:p>
      <w:pPr>
        <w:keepNext w:val="0"/>
        <w:keepLines w:val="0"/>
        <w:pageBreakBefore w:val="0"/>
        <w:widowControl w:val="0"/>
        <w:kinsoku/>
        <w:wordWrap/>
        <w:overflowPunct/>
        <w:topLinePunct w:val="0"/>
        <w:autoSpaceDE/>
        <w:autoSpaceDN/>
        <w:bidi w:val="0"/>
        <w:spacing w:line="600" w:lineRule="exact"/>
        <w:ind w:firstLine="643" w:firstLineChars="200"/>
        <w:textAlignment w:val="auto"/>
        <w:rPr>
          <w:rFonts w:hint="eastAsia" w:ascii="楷体" w:hAnsi="楷体" w:eastAsia="楷体" w:cs="楷体"/>
          <w:b/>
          <w:bCs/>
          <w:color w:val="auto"/>
          <w:sz w:val="32"/>
          <w:szCs w:val="32"/>
          <w:highlight w:val="none"/>
          <w:lang w:eastAsia="zh-CN"/>
        </w:rPr>
      </w:pPr>
      <w:r>
        <w:rPr>
          <w:rFonts w:hint="eastAsia" w:ascii="楷体" w:hAnsi="楷体" w:eastAsia="楷体" w:cs="楷体"/>
          <w:b/>
          <w:bCs/>
          <w:color w:val="auto"/>
          <w:sz w:val="32"/>
          <w:szCs w:val="32"/>
          <w:highlight w:val="none"/>
          <w:lang w:eastAsia="zh-CN"/>
        </w:rPr>
        <w:t>（三）总结阶段</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1.对未完成绩效目标或超过年初设定的绩效指标值较多的情况进行原因分析和说明，研究制定整改措施。</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2.在单位自评的基础上，部门汇总形成本部门支出绩效自评总结报告，按要求向财政部门报送。</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lang w:eastAsia="zh-CN"/>
        </w:rPr>
        <w:t>第二十四条</w:t>
      </w:r>
      <w:r>
        <w:rPr>
          <w:rFonts w:hint="eastAsia" w:ascii="仿宋_GB2312" w:hAnsi="仿宋_GB2312" w:eastAsia="仿宋_GB2312" w:cs="仿宋_GB2312"/>
          <w:b/>
          <w:bCs/>
          <w:color w:val="auto"/>
          <w:sz w:val="32"/>
          <w:szCs w:val="32"/>
          <w:highlight w:val="none"/>
          <w:lang w:val="en-US" w:eastAsia="zh-CN"/>
        </w:rPr>
        <w:t xml:space="preserve"> </w:t>
      </w:r>
      <w:r>
        <w:rPr>
          <w:rFonts w:hint="eastAsia" w:ascii="仿宋_GB2312" w:hAnsi="仿宋_GB2312" w:eastAsia="仿宋_GB2312" w:cs="仿宋_GB2312"/>
          <w:b w:val="0"/>
          <w:bCs w:val="0"/>
          <w:color w:val="auto"/>
          <w:sz w:val="32"/>
          <w:szCs w:val="32"/>
          <w:highlight w:val="none"/>
          <w:lang w:val="en-US" w:eastAsia="zh-CN"/>
        </w:rPr>
        <w:t>财政评价和部门评价工作程序是指财政部门、预算部门所组织的绩效评价工作流程，一般分为准备、实施、撰写和提交报告三个阶段。</w:t>
      </w:r>
    </w:p>
    <w:p>
      <w:pPr>
        <w:keepNext w:val="0"/>
        <w:keepLines w:val="0"/>
        <w:pageBreakBefore w:val="0"/>
        <w:widowControl w:val="0"/>
        <w:kinsoku/>
        <w:wordWrap/>
        <w:overflowPunct/>
        <w:topLinePunct w:val="0"/>
        <w:autoSpaceDE/>
        <w:autoSpaceDN/>
        <w:bidi w:val="0"/>
        <w:spacing w:line="600" w:lineRule="exact"/>
        <w:ind w:firstLine="643" w:firstLineChars="200"/>
        <w:textAlignment w:val="auto"/>
        <w:rPr>
          <w:rFonts w:hint="eastAsia" w:ascii="楷体" w:hAnsi="楷体" w:eastAsia="楷体" w:cs="楷体"/>
          <w:b/>
          <w:bCs/>
          <w:color w:val="auto"/>
          <w:sz w:val="32"/>
          <w:szCs w:val="32"/>
          <w:highlight w:val="none"/>
          <w:lang w:eastAsia="zh-CN"/>
        </w:rPr>
      </w:pPr>
      <w:r>
        <w:rPr>
          <w:rFonts w:hint="eastAsia" w:ascii="楷体" w:hAnsi="楷体" w:eastAsia="楷体" w:cs="楷体"/>
          <w:b/>
          <w:bCs/>
          <w:color w:val="auto"/>
          <w:sz w:val="32"/>
          <w:szCs w:val="32"/>
          <w:highlight w:val="none"/>
          <w:lang w:eastAsia="zh-CN"/>
        </w:rPr>
        <w:t>（一）准备阶段</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1.确定评价对象和范围。评价对象和范围由财政部门和预算部门根据预算管理要求确定。</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2.下达绩效评价通知。实施评价前，评价组织者应向被评价的部门或单位下达评价通知。通知内容主要包括评价目的、内容、任务、依据、评价时间和要求等。</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3.成立评价工作组。财政部门和预算部门根据工作需要单独或联合成立绩效评价工作组，具体负责实施绩效评价。</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4.制定绩效评价工作方案。绩效评价工作方案内容包括：评价工作的计划安排；拟采用的绩效评价指标和评价标准；拟采用的评价方法；评价依据。绩效评价工作方案报评价组织者审定。</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5、明确评价具体内容。评价工作组与被评价部门或单位就评价流程、绩效评价目标、绩效评价指标、评价标准和评价方法等具体内容进行充分沟通。</w:t>
      </w:r>
    </w:p>
    <w:p>
      <w:pPr>
        <w:keepNext w:val="0"/>
        <w:keepLines w:val="0"/>
        <w:pageBreakBefore w:val="0"/>
        <w:widowControl w:val="0"/>
        <w:kinsoku/>
        <w:wordWrap/>
        <w:overflowPunct/>
        <w:topLinePunct w:val="0"/>
        <w:autoSpaceDE/>
        <w:autoSpaceDN/>
        <w:bidi w:val="0"/>
        <w:spacing w:line="600" w:lineRule="exact"/>
        <w:ind w:firstLine="643" w:firstLineChars="200"/>
        <w:textAlignment w:val="auto"/>
        <w:rPr>
          <w:rFonts w:hint="eastAsia" w:ascii="楷体" w:hAnsi="楷体" w:eastAsia="楷体" w:cs="楷体"/>
          <w:b/>
          <w:bCs/>
          <w:color w:val="auto"/>
          <w:sz w:val="32"/>
          <w:szCs w:val="32"/>
          <w:highlight w:val="none"/>
          <w:lang w:eastAsia="zh-CN"/>
        </w:rPr>
      </w:pPr>
      <w:r>
        <w:rPr>
          <w:rFonts w:hint="eastAsia" w:ascii="楷体" w:hAnsi="楷体" w:eastAsia="楷体" w:cs="楷体"/>
          <w:b/>
          <w:bCs/>
          <w:color w:val="auto"/>
          <w:sz w:val="32"/>
          <w:szCs w:val="32"/>
          <w:highlight w:val="none"/>
          <w:lang w:eastAsia="zh-CN"/>
        </w:rPr>
        <w:t>（二）实施阶段</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1.收集、审核资料。评价工作组要在全面收集资料的基础上，根据评价工作方案，对已收集的资料进行分类整理、审核和分析。</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2.现场核查。根据评价对象的特点和被评价单位提供的数据资料，评价工作组可采取现场调研、座谈交流、查验访问等方式进行实地验证核实。</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3.综合评价。评价工作组根据评价工作方案确定的评价指标、评价标准和评价方法，对评价对象的绩效情况进行全面的定量定性分析和综合评价，形成初步评价结果。</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4.交换意见。评价工作组就绩效评价工作开展情况及初步评价结论与被评价部门或单位交换意见。</w:t>
      </w:r>
    </w:p>
    <w:p>
      <w:pPr>
        <w:keepNext w:val="0"/>
        <w:keepLines w:val="0"/>
        <w:pageBreakBefore w:val="0"/>
        <w:widowControl w:val="0"/>
        <w:kinsoku/>
        <w:wordWrap/>
        <w:overflowPunct/>
        <w:topLinePunct w:val="0"/>
        <w:autoSpaceDE/>
        <w:autoSpaceDN/>
        <w:bidi w:val="0"/>
        <w:spacing w:line="600" w:lineRule="exact"/>
        <w:ind w:firstLine="643" w:firstLineChars="200"/>
        <w:textAlignment w:val="auto"/>
        <w:rPr>
          <w:rFonts w:hint="eastAsia" w:ascii="楷体" w:hAnsi="楷体" w:eastAsia="楷体" w:cs="楷体"/>
          <w:b/>
          <w:bCs/>
          <w:color w:val="auto"/>
          <w:sz w:val="32"/>
          <w:szCs w:val="32"/>
          <w:highlight w:val="none"/>
          <w:lang w:eastAsia="zh-CN"/>
        </w:rPr>
      </w:pPr>
      <w:r>
        <w:rPr>
          <w:rFonts w:hint="eastAsia" w:ascii="楷体" w:hAnsi="楷体" w:eastAsia="楷体" w:cs="楷体"/>
          <w:b/>
          <w:bCs/>
          <w:color w:val="auto"/>
          <w:sz w:val="32"/>
          <w:szCs w:val="32"/>
          <w:highlight w:val="none"/>
          <w:lang w:eastAsia="zh-CN"/>
        </w:rPr>
        <w:t>（三）撰写和提交评价报告阶段</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1.撰写报告。评价工作组按照规定的文本格式和要求撰写绩效评价报告。</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2.提交报告。评价工作组在规定的时间内向评价组织者提交初步的绩效评价报告，经评审后修改完善并提交正式绩效评价报告。</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3.建立档案。评价工作结束后，评价工作组应妥善保管工作底稿和评价报告等有关资料，建立绩效评价档案。</w:t>
      </w:r>
    </w:p>
    <w:p>
      <w:pPr>
        <w:keepNext w:val="0"/>
        <w:keepLines w:val="0"/>
        <w:pageBreakBefore w:val="0"/>
        <w:widowControl w:val="0"/>
        <w:kinsoku/>
        <w:wordWrap/>
        <w:overflowPunct/>
        <w:topLinePunct w:val="0"/>
        <w:autoSpaceDE/>
        <w:autoSpaceDN/>
        <w:bidi w:val="0"/>
        <w:spacing w:line="600" w:lineRule="exact"/>
        <w:ind w:firstLine="649" w:firstLineChars="203"/>
        <w:textAlignment w:val="auto"/>
        <w:rPr>
          <w:rFonts w:hint="eastAsia" w:ascii="仿宋_GB2312" w:hAnsi="仿宋_GB2312" w:eastAsia="仿宋_GB2312" w:cs="仿宋_GB2312"/>
          <w:bCs/>
          <w:color w:val="auto"/>
          <w:sz w:val="32"/>
          <w:szCs w:val="32"/>
          <w:highlight w:val="none"/>
        </w:rPr>
      </w:pPr>
      <w:r>
        <w:rPr>
          <w:rFonts w:hint="eastAsia" w:ascii="黑体" w:hAnsi="黑体" w:eastAsia="黑体" w:cs="黑体"/>
          <w:b w:val="0"/>
          <w:bCs w:val="0"/>
          <w:color w:val="auto"/>
          <w:sz w:val="32"/>
          <w:szCs w:val="32"/>
          <w:highlight w:val="none"/>
        </w:rPr>
        <w:t>第二十</w:t>
      </w:r>
      <w:r>
        <w:rPr>
          <w:rFonts w:hint="eastAsia" w:ascii="黑体" w:hAnsi="黑体" w:eastAsia="黑体" w:cs="黑体"/>
          <w:b w:val="0"/>
          <w:bCs w:val="0"/>
          <w:color w:val="auto"/>
          <w:sz w:val="32"/>
          <w:szCs w:val="32"/>
          <w:highlight w:val="none"/>
          <w:lang w:eastAsia="zh-CN"/>
        </w:rPr>
        <w:t>五</w:t>
      </w:r>
      <w:r>
        <w:rPr>
          <w:rFonts w:hint="eastAsia" w:ascii="黑体" w:hAnsi="黑体" w:eastAsia="黑体" w:cs="黑体"/>
          <w:b w:val="0"/>
          <w:bCs w:val="0"/>
          <w:color w:val="auto"/>
          <w:sz w:val="32"/>
          <w:szCs w:val="32"/>
          <w:highlight w:val="none"/>
        </w:rPr>
        <w:t>条</w:t>
      </w:r>
      <w:r>
        <w:rPr>
          <w:rFonts w:hint="eastAsia" w:ascii="仿宋_GB2312" w:hAnsi="仿宋_GB2312" w:eastAsia="仿宋_GB2312" w:cs="仿宋_GB2312"/>
          <w:b/>
          <w:bCs/>
          <w:color w:val="auto"/>
          <w:sz w:val="32"/>
          <w:szCs w:val="32"/>
          <w:highlight w:val="none"/>
        </w:rPr>
        <w:t xml:space="preserve"> </w:t>
      </w:r>
      <w:r>
        <w:rPr>
          <w:rFonts w:hint="eastAsia" w:ascii="仿宋_GB2312" w:hAnsi="仿宋_GB2312" w:eastAsia="仿宋_GB2312" w:cs="仿宋_GB2312"/>
          <w:b w:val="0"/>
          <w:bCs w:val="0"/>
          <w:color w:val="auto"/>
          <w:sz w:val="32"/>
          <w:szCs w:val="32"/>
          <w:highlight w:val="none"/>
          <w:lang w:eastAsia="zh-CN"/>
        </w:rPr>
        <w:t>财政评价</w:t>
      </w:r>
      <w:r>
        <w:rPr>
          <w:rFonts w:hint="eastAsia" w:ascii="仿宋_GB2312" w:hAnsi="仿宋_GB2312" w:eastAsia="仿宋_GB2312" w:cs="仿宋_GB2312"/>
          <w:bCs/>
          <w:color w:val="auto"/>
          <w:sz w:val="32"/>
          <w:szCs w:val="32"/>
          <w:highlight w:val="none"/>
        </w:rPr>
        <w:t>和部门评价根据需要可委托第三方机构或相关领域专家（以下简称第三方，主要是指与资金使用单位没有直接利益关系的单位和个人）参与，并加强对第三方的指导，</w:t>
      </w:r>
      <w:r>
        <w:rPr>
          <w:rFonts w:hint="eastAsia" w:ascii="仿宋_GB2312" w:hAnsi="仿宋_GB2312" w:eastAsia="仿宋_GB2312" w:cs="仿宋_GB2312"/>
          <w:color w:val="auto"/>
          <w:sz w:val="32"/>
          <w:szCs w:val="32"/>
          <w:highlight w:val="none"/>
        </w:rPr>
        <w:t>对第三方工作质量进行监督管理</w:t>
      </w:r>
      <w:r>
        <w:rPr>
          <w:rFonts w:hint="eastAsia" w:ascii="仿宋_GB2312" w:hAnsi="仿宋_GB2312" w:eastAsia="仿宋_GB2312" w:cs="仿宋_GB2312"/>
          <w:bCs/>
          <w:color w:val="auto"/>
          <w:sz w:val="32"/>
          <w:szCs w:val="32"/>
          <w:highlight w:val="none"/>
        </w:rPr>
        <w:t>，推动提高评价的客观性和公正性。</w:t>
      </w:r>
    </w:p>
    <w:p>
      <w:pPr>
        <w:keepNext w:val="0"/>
        <w:keepLines w:val="0"/>
        <w:pageBreakBefore w:val="0"/>
        <w:widowControl w:val="0"/>
        <w:kinsoku/>
        <w:wordWrap/>
        <w:overflowPunct/>
        <w:topLinePunct w:val="0"/>
        <w:autoSpaceDE/>
        <w:autoSpaceDN/>
        <w:bidi w:val="0"/>
        <w:spacing w:line="600" w:lineRule="exact"/>
        <w:ind w:firstLine="627" w:firstLineChars="196"/>
        <w:textAlignment w:val="auto"/>
        <w:rPr>
          <w:rFonts w:hint="eastAsia" w:ascii="仿宋_GB2312" w:hAnsi="仿宋_GB2312" w:eastAsia="仿宋_GB2312" w:cs="仿宋_GB2312"/>
          <w:b/>
          <w:bCs/>
          <w:color w:val="auto"/>
          <w:sz w:val="32"/>
          <w:szCs w:val="32"/>
          <w:highlight w:val="none"/>
        </w:rPr>
      </w:pPr>
      <w:r>
        <w:rPr>
          <w:rFonts w:hint="eastAsia" w:ascii="黑体" w:hAnsi="黑体" w:eastAsia="黑体" w:cs="黑体"/>
          <w:b w:val="0"/>
          <w:bCs w:val="0"/>
          <w:color w:val="auto"/>
          <w:sz w:val="32"/>
          <w:szCs w:val="32"/>
          <w:highlight w:val="none"/>
        </w:rPr>
        <w:t>第二十</w:t>
      </w:r>
      <w:r>
        <w:rPr>
          <w:rFonts w:hint="eastAsia" w:ascii="黑体" w:hAnsi="黑体" w:eastAsia="黑体" w:cs="黑体"/>
          <w:b w:val="0"/>
          <w:bCs w:val="0"/>
          <w:color w:val="auto"/>
          <w:sz w:val="32"/>
          <w:szCs w:val="32"/>
          <w:highlight w:val="none"/>
          <w:lang w:eastAsia="zh-CN"/>
        </w:rPr>
        <w:t>六</w:t>
      </w:r>
      <w:r>
        <w:rPr>
          <w:rFonts w:hint="eastAsia" w:ascii="黑体" w:hAnsi="黑体" w:eastAsia="黑体" w:cs="黑体"/>
          <w:b w:val="0"/>
          <w:bCs w:val="0"/>
          <w:color w:val="auto"/>
          <w:sz w:val="32"/>
          <w:szCs w:val="32"/>
          <w:highlight w:val="none"/>
        </w:rPr>
        <w:t>条</w:t>
      </w:r>
      <w:r>
        <w:rPr>
          <w:rFonts w:hint="eastAsia" w:ascii="仿宋_GB2312" w:hAnsi="仿宋_GB2312" w:eastAsia="仿宋_GB2312" w:cs="仿宋_GB2312"/>
          <w:b/>
          <w:bCs/>
          <w:color w:val="auto"/>
          <w:sz w:val="32"/>
          <w:szCs w:val="32"/>
          <w:highlight w:val="none"/>
        </w:rPr>
        <w:t xml:space="preserve"> </w:t>
      </w:r>
      <w:r>
        <w:rPr>
          <w:rFonts w:hint="eastAsia" w:ascii="仿宋_GB2312" w:hAnsi="仿宋_GB2312" w:eastAsia="仿宋_GB2312" w:cs="仿宋_GB2312"/>
          <w:bCs/>
          <w:color w:val="auto"/>
          <w:sz w:val="32"/>
          <w:szCs w:val="32"/>
          <w:highlight w:val="none"/>
        </w:rPr>
        <w:t>部门委托第三方开展绩效评价的，要体现委托人与项目实施主体相分离的原则，一般由主管财务的机构委托，确保绩效评价的独立、客观、公正。</w:t>
      </w:r>
    </w:p>
    <w:p>
      <w:pPr>
        <w:keepNext w:val="0"/>
        <w:keepLines w:val="0"/>
        <w:pageBreakBefore w:val="0"/>
        <w:widowControl w:val="0"/>
        <w:kinsoku/>
        <w:wordWrap/>
        <w:overflowPunct/>
        <w:topLinePunct w:val="0"/>
        <w:autoSpaceDE/>
        <w:autoSpaceDN/>
        <w:bidi w:val="0"/>
        <w:adjustRightInd w:val="0"/>
        <w:snapToGrid w:val="0"/>
        <w:spacing w:before="313" w:beforeLines="100" w:after="313" w:afterLines="100" w:line="560" w:lineRule="exact"/>
        <w:jc w:val="center"/>
        <w:textAlignment w:val="auto"/>
        <w:rPr>
          <w:rFonts w:hint="eastAsia" w:ascii="黑体" w:hAnsi="Calibri" w:eastAsia="黑体" w:cs="黑体"/>
          <w:color w:val="000000" w:themeColor="text1"/>
          <w:sz w:val="32"/>
          <w:szCs w:val="32"/>
          <w:highlight w:val="none"/>
          <w:u w:val="none"/>
          <w:lang w:eastAsia="zh-CN"/>
          <w14:textFill>
            <w14:solidFill>
              <w14:schemeClr w14:val="tx1"/>
            </w14:solidFill>
          </w14:textFill>
        </w:rPr>
      </w:pPr>
      <w:r>
        <w:rPr>
          <w:rFonts w:hint="eastAsia" w:ascii="黑体" w:hAnsi="Calibri" w:eastAsia="黑体" w:cs="黑体"/>
          <w:color w:val="000000" w:themeColor="text1"/>
          <w:sz w:val="32"/>
          <w:szCs w:val="32"/>
          <w:highlight w:val="none"/>
          <w:u w:val="none"/>
          <w14:textFill>
            <w14:solidFill>
              <w14:schemeClr w14:val="tx1"/>
            </w14:solidFill>
          </w14:textFill>
        </w:rPr>
        <w:t>第</w:t>
      </w:r>
      <w:r>
        <w:rPr>
          <w:rFonts w:hint="eastAsia" w:ascii="黑体" w:hAnsi="Calibri" w:eastAsia="黑体" w:cs="黑体"/>
          <w:color w:val="000000" w:themeColor="text1"/>
          <w:sz w:val="32"/>
          <w:szCs w:val="32"/>
          <w:highlight w:val="none"/>
          <w:u w:val="none"/>
          <w:lang w:eastAsia="zh-CN"/>
          <w14:textFill>
            <w14:solidFill>
              <w14:schemeClr w14:val="tx1"/>
            </w14:solidFill>
          </w14:textFill>
        </w:rPr>
        <w:t>六</w:t>
      </w:r>
      <w:r>
        <w:rPr>
          <w:rFonts w:hint="eastAsia" w:ascii="黑体" w:hAnsi="Calibri" w:eastAsia="黑体" w:cs="黑体"/>
          <w:color w:val="000000" w:themeColor="text1"/>
          <w:sz w:val="32"/>
          <w:szCs w:val="32"/>
          <w:highlight w:val="none"/>
          <w:u w:val="none"/>
          <w14:textFill>
            <w14:solidFill>
              <w14:schemeClr w14:val="tx1"/>
            </w14:solidFill>
          </w14:textFill>
        </w:rPr>
        <w:t>章</w:t>
      </w:r>
      <w:r>
        <w:rPr>
          <w:rFonts w:hint="eastAsia" w:ascii="黑体" w:hAnsi="Calibri" w:eastAsia="黑体" w:cs="黑体"/>
          <w:color w:val="000000" w:themeColor="text1"/>
          <w:sz w:val="32"/>
          <w:szCs w:val="32"/>
          <w:highlight w:val="none"/>
          <w:u w:val="none"/>
          <w:lang w:val="en-US" w:eastAsia="zh-CN"/>
          <w14:textFill>
            <w14:solidFill>
              <w14:schemeClr w14:val="tx1"/>
            </w14:solidFill>
          </w14:textFill>
        </w:rPr>
        <w:t xml:space="preserve"> </w:t>
      </w:r>
      <w:r>
        <w:rPr>
          <w:rFonts w:hint="eastAsia" w:ascii="黑体" w:hAnsi="Calibri" w:eastAsia="黑体" w:cs="黑体"/>
          <w:color w:val="000000" w:themeColor="text1"/>
          <w:sz w:val="32"/>
          <w:szCs w:val="32"/>
          <w:highlight w:val="none"/>
          <w:u w:val="none"/>
          <w14:textFill>
            <w14:solidFill>
              <w14:schemeClr w14:val="tx1"/>
            </w14:solidFill>
          </w14:textFill>
        </w:rPr>
        <w:t xml:space="preserve"> 绩效评价结果</w:t>
      </w:r>
      <w:r>
        <w:rPr>
          <w:rFonts w:hint="eastAsia" w:ascii="黑体" w:hAnsi="Calibri" w:eastAsia="黑体" w:cs="黑体"/>
          <w:color w:val="000000" w:themeColor="text1"/>
          <w:sz w:val="32"/>
          <w:szCs w:val="32"/>
          <w:highlight w:val="none"/>
          <w:u w:val="none"/>
          <w:lang w:eastAsia="zh-CN"/>
          <w14:textFill>
            <w14:solidFill>
              <w14:schemeClr w14:val="tx1"/>
            </w14:solidFill>
          </w14:textFill>
        </w:rPr>
        <w:t>应用</w:t>
      </w:r>
      <w:r>
        <w:rPr>
          <w:rFonts w:hint="eastAsia" w:ascii="黑体" w:hAnsi="Calibri" w:eastAsia="黑体" w:cs="黑体"/>
          <w:color w:val="000000" w:themeColor="text1"/>
          <w:sz w:val="32"/>
          <w:szCs w:val="32"/>
          <w:highlight w:val="none"/>
          <w:u w:val="none"/>
          <w14:textFill>
            <w14:solidFill>
              <w14:schemeClr w14:val="tx1"/>
            </w14:solidFill>
          </w14:textFill>
        </w:rPr>
        <w:t>及</w:t>
      </w:r>
      <w:r>
        <w:rPr>
          <w:rFonts w:hint="eastAsia" w:ascii="黑体" w:hAnsi="Calibri" w:eastAsia="黑体" w:cs="黑体"/>
          <w:color w:val="000000" w:themeColor="text1"/>
          <w:sz w:val="32"/>
          <w:szCs w:val="32"/>
          <w:highlight w:val="none"/>
          <w:u w:val="none"/>
          <w:lang w:eastAsia="zh-CN"/>
          <w14:textFill>
            <w14:solidFill>
              <w14:schemeClr w14:val="tx1"/>
            </w14:solidFill>
          </w14:textFill>
        </w:rPr>
        <w:t>公开</w:t>
      </w:r>
    </w:p>
    <w:p>
      <w:pPr>
        <w:keepNext w:val="0"/>
        <w:keepLines w:val="0"/>
        <w:pageBreakBefore w:val="0"/>
        <w:widowControl w:val="0"/>
        <w:kinsoku/>
        <w:wordWrap/>
        <w:overflowPunct/>
        <w:topLinePunct w:val="0"/>
        <w:autoSpaceDE/>
        <w:autoSpaceDN/>
        <w:bidi w:val="0"/>
        <w:spacing w:line="600" w:lineRule="exact"/>
        <w:ind w:firstLine="627" w:firstLineChars="196"/>
        <w:textAlignment w:val="auto"/>
        <w:rPr>
          <w:rFonts w:hint="eastAsia" w:ascii="仿宋_GB2312" w:hAnsi="仿宋" w:eastAsia="仿宋_GB2312" w:cs="仿宋"/>
          <w:color w:val="auto"/>
          <w:sz w:val="32"/>
          <w:szCs w:val="32"/>
          <w:highlight w:val="none"/>
          <w:lang w:eastAsia="zh-CN"/>
        </w:rPr>
      </w:pPr>
      <w:r>
        <w:rPr>
          <w:rFonts w:hint="eastAsia" w:ascii="黑体" w:hAnsi="黑体" w:eastAsia="黑体" w:cs="黑体"/>
          <w:b w:val="0"/>
          <w:bCs w:val="0"/>
          <w:color w:val="auto"/>
          <w:sz w:val="32"/>
          <w:szCs w:val="32"/>
          <w:highlight w:val="none"/>
        </w:rPr>
        <w:t>第二十</w:t>
      </w:r>
      <w:r>
        <w:rPr>
          <w:rFonts w:hint="eastAsia" w:ascii="黑体" w:hAnsi="黑体" w:eastAsia="黑体" w:cs="黑体"/>
          <w:b w:val="0"/>
          <w:bCs w:val="0"/>
          <w:color w:val="auto"/>
          <w:sz w:val="32"/>
          <w:szCs w:val="32"/>
          <w:highlight w:val="none"/>
          <w:lang w:eastAsia="zh-CN"/>
        </w:rPr>
        <w:t>七</w:t>
      </w:r>
      <w:r>
        <w:rPr>
          <w:rFonts w:hint="eastAsia" w:ascii="黑体" w:hAnsi="黑体" w:eastAsia="黑体" w:cs="黑体"/>
          <w:b w:val="0"/>
          <w:bCs w:val="0"/>
          <w:color w:val="auto"/>
          <w:sz w:val="32"/>
          <w:szCs w:val="32"/>
          <w:highlight w:val="none"/>
        </w:rPr>
        <w:t>条</w:t>
      </w:r>
      <w:r>
        <w:rPr>
          <w:rFonts w:hint="eastAsia" w:ascii="仿宋_GB2312" w:hAnsi="仿宋" w:eastAsia="仿宋_GB2312" w:cs="仿宋"/>
          <w:b/>
          <w:bCs/>
          <w:color w:val="auto"/>
          <w:sz w:val="32"/>
          <w:szCs w:val="32"/>
          <w:highlight w:val="none"/>
        </w:rPr>
        <w:t xml:space="preserve"> </w:t>
      </w:r>
      <w:r>
        <w:rPr>
          <w:rFonts w:hint="eastAsia" w:ascii="仿宋_GB2312" w:hAnsi="仿宋" w:eastAsia="仿宋_GB2312" w:cs="仿宋"/>
          <w:b w:val="0"/>
          <w:bCs w:val="0"/>
          <w:color w:val="auto"/>
          <w:sz w:val="32"/>
          <w:szCs w:val="32"/>
          <w:highlight w:val="none"/>
        </w:rPr>
        <w:t>单位自评结果主要通过项目支出绩效自评表的形式反映</w:t>
      </w:r>
      <w:r>
        <w:rPr>
          <w:rFonts w:hint="eastAsia" w:ascii="仿宋_GB2312" w:hAnsi="仿宋" w:eastAsia="仿宋_GB2312" w:cs="仿宋"/>
          <w:b w:val="0"/>
          <w:bCs w:val="0"/>
          <w:color w:val="auto"/>
          <w:sz w:val="32"/>
          <w:szCs w:val="32"/>
          <w:highlight w:val="none"/>
          <w:lang w:eastAsia="zh-CN"/>
        </w:rPr>
        <w:t>。部门汇总后，形成部门项目支出绩效自评总结报告。单位自评要求</w:t>
      </w:r>
      <w:r>
        <w:rPr>
          <w:rFonts w:hint="eastAsia" w:ascii="仿宋_GB2312" w:hAnsi="仿宋" w:eastAsia="仿宋_GB2312" w:cs="仿宋"/>
          <w:b w:val="0"/>
          <w:bCs w:val="0"/>
          <w:color w:val="auto"/>
          <w:sz w:val="32"/>
          <w:szCs w:val="32"/>
          <w:highlight w:val="none"/>
        </w:rPr>
        <w:t>做到内容完整、权重合理、数据真实、结果客观。</w:t>
      </w:r>
      <w:r>
        <w:rPr>
          <w:rFonts w:hint="eastAsia" w:ascii="仿宋_GB2312" w:hAnsi="仿宋" w:eastAsia="仿宋_GB2312" w:cs="仿宋"/>
          <w:b w:val="0"/>
          <w:bCs w:val="0"/>
          <w:color w:val="auto"/>
          <w:sz w:val="32"/>
          <w:szCs w:val="32"/>
          <w:highlight w:val="none"/>
          <w:lang w:eastAsia="zh-CN"/>
        </w:rPr>
        <w:t>部门和单位对自评结果的真实性和准确性负责。</w:t>
      </w:r>
    </w:p>
    <w:p>
      <w:pPr>
        <w:keepNext w:val="0"/>
        <w:keepLines w:val="0"/>
        <w:pageBreakBefore w:val="0"/>
        <w:widowControl w:val="0"/>
        <w:kinsoku/>
        <w:wordWrap/>
        <w:overflowPunct/>
        <w:topLinePunct w:val="0"/>
        <w:autoSpaceDE/>
        <w:autoSpaceDN/>
        <w:bidi w:val="0"/>
        <w:spacing w:line="600" w:lineRule="exact"/>
        <w:ind w:firstLine="627" w:firstLineChars="196"/>
        <w:textAlignment w:val="auto"/>
        <w:rPr>
          <w:rFonts w:hint="eastAsia" w:ascii="仿宋_GB2312" w:hAnsi="仿宋" w:eastAsia="仿宋_GB2312" w:cs="仿宋"/>
          <w:b w:val="0"/>
          <w:bCs w:val="0"/>
          <w:color w:val="auto"/>
          <w:sz w:val="32"/>
          <w:szCs w:val="32"/>
          <w:highlight w:val="none"/>
          <w:lang w:eastAsia="zh-CN"/>
        </w:rPr>
      </w:pPr>
      <w:r>
        <w:rPr>
          <w:rFonts w:hint="eastAsia" w:ascii="黑体" w:hAnsi="黑体" w:eastAsia="黑体" w:cs="黑体"/>
          <w:b w:val="0"/>
          <w:bCs w:val="0"/>
          <w:color w:val="auto"/>
          <w:sz w:val="32"/>
          <w:szCs w:val="32"/>
          <w:highlight w:val="none"/>
        </w:rPr>
        <w:t>第二十</w:t>
      </w:r>
      <w:r>
        <w:rPr>
          <w:rFonts w:hint="eastAsia" w:ascii="黑体" w:hAnsi="黑体" w:eastAsia="黑体" w:cs="黑体"/>
          <w:b w:val="0"/>
          <w:bCs w:val="0"/>
          <w:color w:val="auto"/>
          <w:sz w:val="32"/>
          <w:szCs w:val="32"/>
          <w:highlight w:val="none"/>
          <w:lang w:eastAsia="zh-CN"/>
        </w:rPr>
        <w:t>八</w:t>
      </w:r>
      <w:r>
        <w:rPr>
          <w:rFonts w:hint="eastAsia" w:ascii="黑体" w:hAnsi="黑体" w:eastAsia="黑体" w:cs="黑体"/>
          <w:b w:val="0"/>
          <w:bCs w:val="0"/>
          <w:color w:val="auto"/>
          <w:sz w:val="32"/>
          <w:szCs w:val="32"/>
          <w:highlight w:val="none"/>
        </w:rPr>
        <w:t>条</w:t>
      </w:r>
      <w:r>
        <w:rPr>
          <w:rFonts w:hint="eastAsia" w:ascii="仿宋_GB2312" w:hAnsi="仿宋" w:eastAsia="仿宋_GB2312" w:cs="仿宋"/>
          <w:b/>
          <w:bCs/>
          <w:color w:val="auto"/>
          <w:sz w:val="32"/>
          <w:szCs w:val="32"/>
          <w:highlight w:val="none"/>
        </w:rPr>
        <w:t xml:space="preserve"> </w:t>
      </w:r>
      <w:r>
        <w:rPr>
          <w:rFonts w:hint="eastAsia" w:ascii="仿宋_GB2312" w:hAnsi="仿宋" w:eastAsia="仿宋_GB2312" w:cs="仿宋"/>
          <w:b w:val="0"/>
          <w:bCs w:val="0"/>
          <w:color w:val="auto"/>
          <w:sz w:val="32"/>
          <w:szCs w:val="32"/>
          <w:highlight w:val="none"/>
          <w:lang w:eastAsia="zh-CN"/>
        </w:rPr>
        <w:t>财政评价和部门评价结果主要以绩效评价报告的形式体现。绩效评价报告应当依据充分、分析透彻、逻辑清晰、客观公正。</w:t>
      </w:r>
    </w:p>
    <w:p>
      <w:pPr>
        <w:keepNext w:val="0"/>
        <w:keepLines w:val="0"/>
        <w:pageBreakBefore w:val="0"/>
        <w:widowControl w:val="0"/>
        <w:kinsoku/>
        <w:wordWrap/>
        <w:overflowPunct/>
        <w:topLinePunct w:val="0"/>
        <w:autoSpaceDE/>
        <w:autoSpaceDN/>
        <w:bidi w:val="0"/>
        <w:spacing w:line="600" w:lineRule="exact"/>
        <w:ind w:firstLine="627" w:firstLineChars="196"/>
        <w:textAlignment w:val="auto"/>
        <w:rPr>
          <w:rFonts w:hint="eastAsia" w:ascii="仿宋_GB2312" w:hAnsi="仿宋" w:eastAsia="仿宋_GB2312" w:cs="仿宋"/>
          <w:b w:val="0"/>
          <w:bCs w:val="0"/>
          <w:color w:val="auto"/>
          <w:sz w:val="32"/>
          <w:szCs w:val="32"/>
          <w:highlight w:val="none"/>
          <w:lang w:eastAsia="zh-CN"/>
        </w:rPr>
      </w:pPr>
      <w:r>
        <w:rPr>
          <w:rFonts w:hint="eastAsia" w:ascii="黑体" w:hAnsi="黑体" w:eastAsia="黑体" w:cs="黑体"/>
          <w:b w:val="0"/>
          <w:bCs w:val="0"/>
          <w:color w:val="auto"/>
          <w:sz w:val="32"/>
          <w:szCs w:val="32"/>
          <w:highlight w:val="none"/>
          <w:lang w:eastAsia="zh-CN"/>
        </w:rPr>
        <w:t>第二十九条</w:t>
      </w:r>
      <w:r>
        <w:rPr>
          <w:rFonts w:hint="eastAsia" w:ascii="仿宋_GB2312" w:hAnsi="仿宋" w:eastAsia="仿宋_GB2312" w:cs="仿宋"/>
          <w:b/>
          <w:bCs/>
          <w:color w:val="auto"/>
          <w:sz w:val="32"/>
          <w:szCs w:val="32"/>
          <w:highlight w:val="none"/>
          <w:lang w:val="en-US" w:eastAsia="zh-CN"/>
        </w:rPr>
        <w:t xml:space="preserve"> </w:t>
      </w:r>
      <w:r>
        <w:rPr>
          <w:rFonts w:hint="eastAsia" w:ascii="仿宋_GB2312" w:hAnsi="仿宋" w:eastAsia="仿宋_GB2312" w:cs="仿宋"/>
          <w:b w:val="0"/>
          <w:bCs w:val="0"/>
          <w:color w:val="auto"/>
          <w:sz w:val="32"/>
          <w:szCs w:val="32"/>
          <w:highlight w:val="none"/>
          <w:lang w:eastAsia="zh-CN"/>
        </w:rPr>
        <w:t>各部门应当按照要求向财政部门报送绩效自评结果。</w:t>
      </w:r>
    </w:p>
    <w:p>
      <w:pPr>
        <w:keepNext w:val="0"/>
        <w:keepLines w:val="0"/>
        <w:pageBreakBefore w:val="0"/>
        <w:widowControl w:val="0"/>
        <w:kinsoku/>
        <w:wordWrap/>
        <w:overflowPunct/>
        <w:topLinePunct w:val="0"/>
        <w:autoSpaceDE/>
        <w:autoSpaceDN/>
        <w:bidi w:val="0"/>
        <w:spacing w:line="600" w:lineRule="exact"/>
        <w:ind w:firstLine="627" w:firstLineChars="196"/>
        <w:textAlignment w:val="auto"/>
        <w:rPr>
          <w:rFonts w:hint="eastAsia" w:ascii="仿宋_GB2312" w:hAnsi="仿宋" w:eastAsia="仿宋_GB2312" w:cs="仿宋"/>
          <w:b w:val="0"/>
          <w:bCs w:val="0"/>
          <w:color w:val="auto"/>
          <w:sz w:val="32"/>
          <w:szCs w:val="32"/>
          <w:highlight w:val="none"/>
          <w:lang w:eastAsia="zh-CN"/>
        </w:rPr>
      </w:pPr>
      <w:r>
        <w:rPr>
          <w:rFonts w:hint="eastAsia" w:ascii="仿宋_GB2312" w:hAnsi="仿宋" w:eastAsia="仿宋_GB2312" w:cs="仿宋"/>
          <w:b w:val="0"/>
          <w:bCs w:val="0"/>
          <w:color w:val="auto"/>
          <w:sz w:val="32"/>
          <w:szCs w:val="32"/>
          <w:highlight w:val="none"/>
          <w:lang w:eastAsia="zh-CN"/>
        </w:rPr>
        <w:t>部门和单位应切实加强绩效自评结果的整理、分析，将自评结果作为本部门、本单位完善政策和改进管理的重要依据。对预算执行率偏低、自评结果较差的项目，要单独说明原因，提出整改措施。</w:t>
      </w:r>
    </w:p>
    <w:p>
      <w:pPr>
        <w:keepNext w:val="0"/>
        <w:keepLines w:val="0"/>
        <w:pageBreakBefore w:val="0"/>
        <w:widowControl w:val="0"/>
        <w:kinsoku/>
        <w:wordWrap/>
        <w:overflowPunct/>
        <w:topLinePunct w:val="0"/>
        <w:autoSpaceDE/>
        <w:autoSpaceDN/>
        <w:bidi w:val="0"/>
        <w:spacing w:line="600" w:lineRule="exact"/>
        <w:ind w:firstLine="627" w:firstLineChars="196"/>
        <w:textAlignment w:val="auto"/>
        <w:rPr>
          <w:rFonts w:hint="eastAsia" w:ascii="仿宋_GB2312" w:hAnsi="仿宋" w:eastAsia="仿宋_GB2312" w:cs="仿宋"/>
          <w:b w:val="0"/>
          <w:bCs w:val="0"/>
          <w:color w:val="auto"/>
          <w:sz w:val="32"/>
          <w:szCs w:val="32"/>
          <w:highlight w:val="none"/>
          <w:lang w:eastAsia="zh-CN"/>
        </w:rPr>
      </w:pPr>
      <w:r>
        <w:rPr>
          <w:rFonts w:hint="eastAsia" w:ascii="黑体" w:hAnsi="黑体" w:eastAsia="黑体" w:cs="黑体"/>
          <w:b w:val="0"/>
          <w:bCs w:val="0"/>
          <w:color w:val="auto"/>
          <w:sz w:val="32"/>
          <w:szCs w:val="32"/>
          <w:highlight w:val="none"/>
          <w:lang w:eastAsia="zh-CN"/>
        </w:rPr>
        <w:t>第三十条</w:t>
      </w:r>
      <w:r>
        <w:rPr>
          <w:rFonts w:hint="eastAsia" w:ascii="仿宋_GB2312" w:hAnsi="仿宋" w:eastAsia="仿宋_GB2312" w:cs="仿宋"/>
          <w:b/>
          <w:bCs/>
          <w:color w:val="auto"/>
          <w:sz w:val="32"/>
          <w:szCs w:val="32"/>
          <w:highlight w:val="none"/>
          <w:lang w:val="en-US" w:eastAsia="zh-CN"/>
        </w:rPr>
        <w:t xml:space="preserve"> </w:t>
      </w:r>
      <w:r>
        <w:rPr>
          <w:rFonts w:hint="eastAsia" w:ascii="仿宋_GB2312" w:hAnsi="仿宋" w:eastAsia="仿宋_GB2312" w:cs="仿宋"/>
          <w:b w:val="0"/>
          <w:bCs w:val="0"/>
          <w:color w:val="auto"/>
          <w:sz w:val="32"/>
          <w:szCs w:val="32"/>
          <w:highlight w:val="none"/>
          <w:lang w:eastAsia="zh-CN"/>
        </w:rPr>
        <w:t>财政部门和预算部门应在绩效评价工作完成后，及时将评价结果反馈被评价部门（单位），并明确整改时限；被评价部门（单位）应当按要求向财政部门或主管部门报送整改落实情况。</w:t>
      </w:r>
    </w:p>
    <w:p>
      <w:pPr>
        <w:keepNext w:val="0"/>
        <w:keepLines w:val="0"/>
        <w:pageBreakBefore w:val="0"/>
        <w:widowControl w:val="0"/>
        <w:kinsoku/>
        <w:wordWrap/>
        <w:overflowPunct/>
        <w:topLinePunct w:val="0"/>
        <w:autoSpaceDE/>
        <w:autoSpaceDN/>
        <w:bidi w:val="0"/>
        <w:spacing w:line="600" w:lineRule="exact"/>
        <w:ind w:firstLine="627" w:firstLineChars="196"/>
        <w:textAlignment w:val="auto"/>
        <w:rPr>
          <w:rFonts w:hint="eastAsia" w:ascii="仿宋_GB2312" w:hAnsi="仿宋" w:eastAsia="仿宋_GB2312" w:cs="仿宋"/>
          <w:b w:val="0"/>
          <w:bCs w:val="0"/>
          <w:color w:val="auto"/>
          <w:sz w:val="32"/>
          <w:szCs w:val="32"/>
          <w:highlight w:val="none"/>
          <w:lang w:eastAsia="zh-CN"/>
        </w:rPr>
      </w:pPr>
      <w:r>
        <w:rPr>
          <w:rFonts w:hint="eastAsia" w:ascii="仿宋_GB2312" w:hAnsi="仿宋" w:eastAsia="仿宋_GB2312" w:cs="仿宋"/>
          <w:b w:val="0"/>
          <w:bCs w:val="0"/>
          <w:color w:val="auto"/>
          <w:sz w:val="32"/>
          <w:szCs w:val="32"/>
          <w:highlight w:val="none"/>
          <w:lang w:eastAsia="zh-CN"/>
        </w:rPr>
        <w:t>各部门应按要求将部门评价结果报送财政部门，评价结果作为本部门安排预算、完善政策和改进管理的重要依据；财政评价结果作为安排政府预算、完善政策和改进管理的重要依据。原则上，对绩效评价结果为优的，财政部门予以表扬并优先保障；对绩效评价结果为良的，财政部门督促限期整改所发现问题，作为以后年度预算安排的重要参考；对评价结果为中和差的，财政部门予以通报批评，并压缩或取消相应预算资金。</w:t>
      </w:r>
    </w:p>
    <w:p>
      <w:pPr>
        <w:keepNext w:val="0"/>
        <w:keepLines w:val="0"/>
        <w:pageBreakBefore w:val="0"/>
        <w:widowControl w:val="0"/>
        <w:kinsoku/>
        <w:wordWrap/>
        <w:overflowPunct/>
        <w:topLinePunct w:val="0"/>
        <w:autoSpaceDE/>
        <w:autoSpaceDN/>
        <w:bidi w:val="0"/>
        <w:spacing w:line="600" w:lineRule="exact"/>
        <w:ind w:firstLine="627" w:firstLineChars="196"/>
        <w:textAlignment w:val="auto"/>
        <w:rPr>
          <w:rFonts w:hint="eastAsia" w:ascii="仿宋_GB2312" w:hAnsi="仿宋" w:eastAsia="仿宋_GB2312" w:cs="仿宋"/>
          <w:b/>
          <w:bCs/>
          <w:color w:val="auto"/>
          <w:sz w:val="32"/>
          <w:szCs w:val="32"/>
          <w:highlight w:val="none"/>
          <w:lang w:eastAsia="zh-CN"/>
        </w:rPr>
      </w:pPr>
      <w:r>
        <w:rPr>
          <w:rFonts w:hint="eastAsia" w:ascii="黑体" w:hAnsi="黑体" w:eastAsia="黑体" w:cs="黑体"/>
          <w:b w:val="0"/>
          <w:bCs w:val="0"/>
          <w:color w:val="auto"/>
          <w:sz w:val="32"/>
          <w:szCs w:val="32"/>
          <w:highlight w:val="none"/>
          <w:lang w:eastAsia="zh-CN"/>
        </w:rPr>
        <w:t>第三十一条</w:t>
      </w:r>
      <w:r>
        <w:rPr>
          <w:rFonts w:hint="eastAsia" w:ascii="仿宋_GB2312" w:hAnsi="仿宋" w:eastAsia="仿宋_GB2312" w:cs="仿宋"/>
          <w:b/>
          <w:bCs/>
          <w:color w:val="auto"/>
          <w:sz w:val="32"/>
          <w:szCs w:val="32"/>
          <w:highlight w:val="none"/>
          <w:lang w:val="en-US" w:eastAsia="zh-CN"/>
        </w:rPr>
        <w:t xml:space="preserve"> </w:t>
      </w:r>
      <w:r>
        <w:rPr>
          <w:rFonts w:hint="eastAsia" w:ascii="仿宋_GB2312" w:hAnsi="仿宋" w:eastAsia="仿宋_GB2312" w:cs="仿宋"/>
          <w:b w:val="0"/>
          <w:bCs w:val="0"/>
          <w:color w:val="auto"/>
          <w:sz w:val="32"/>
          <w:szCs w:val="32"/>
          <w:highlight w:val="none"/>
          <w:lang w:eastAsia="zh-CN"/>
        </w:rPr>
        <w:t>财政部门、预算部门应当按照要求将绩效评价结果分别编入政府决算和本部门决算，报送本级人民代表大会常务委员会，并依法予以公开。</w:t>
      </w:r>
    </w:p>
    <w:p>
      <w:pPr>
        <w:keepNext w:val="0"/>
        <w:keepLines w:val="0"/>
        <w:pageBreakBefore w:val="0"/>
        <w:widowControl w:val="0"/>
        <w:kinsoku/>
        <w:wordWrap/>
        <w:overflowPunct/>
        <w:topLinePunct w:val="0"/>
        <w:autoSpaceDE/>
        <w:autoSpaceDN/>
        <w:bidi w:val="0"/>
        <w:spacing w:line="600" w:lineRule="exact"/>
        <w:ind w:firstLine="627" w:firstLineChars="196"/>
        <w:textAlignment w:val="auto"/>
        <w:rPr>
          <w:rFonts w:hint="eastAsia" w:ascii="仿宋_GB2312" w:hAnsi="仿宋" w:eastAsia="仿宋_GB2312" w:cs="仿宋"/>
          <w:b w:val="0"/>
          <w:bCs w:val="0"/>
          <w:color w:val="auto"/>
          <w:sz w:val="32"/>
          <w:szCs w:val="32"/>
          <w:highlight w:val="none"/>
          <w:lang w:eastAsia="zh-CN"/>
        </w:rPr>
      </w:pPr>
      <w:r>
        <w:rPr>
          <w:rFonts w:hint="eastAsia" w:ascii="黑体" w:hAnsi="黑体" w:eastAsia="黑体" w:cs="黑体"/>
          <w:b w:val="0"/>
          <w:bCs w:val="0"/>
          <w:color w:val="auto"/>
          <w:sz w:val="32"/>
          <w:szCs w:val="32"/>
          <w:highlight w:val="none"/>
          <w:lang w:eastAsia="zh-CN"/>
        </w:rPr>
        <w:t>第三十二条</w:t>
      </w:r>
      <w:r>
        <w:rPr>
          <w:rFonts w:hint="eastAsia" w:ascii="仿宋_GB2312" w:hAnsi="仿宋" w:eastAsia="仿宋_GB2312" w:cs="仿宋"/>
          <w:b/>
          <w:bCs/>
          <w:color w:val="auto"/>
          <w:sz w:val="32"/>
          <w:szCs w:val="32"/>
          <w:highlight w:val="none"/>
          <w:lang w:val="en-US" w:eastAsia="zh-CN"/>
        </w:rPr>
        <w:t xml:space="preserve"> </w:t>
      </w:r>
      <w:r>
        <w:rPr>
          <w:rFonts w:hint="eastAsia" w:ascii="仿宋_GB2312" w:hAnsi="仿宋" w:eastAsia="仿宋_GB2312" w:cs="仿宋"/>
          <w:b w:val="0"/>
          <w:bCs w:val="0"/>
          <w:color w:val="auto"/>
          <w:sz w:val="32"/>
          <w:szCs w:val="32"/>
          <w:highlight w:val="none"/>
          <w:lang w:eastAsia="zh-CN"/>
        </w:rPr>
        <w:t>绩效评价工作和结果应依法自觉接受审计监督。</w:t>
      </w:r>
    </w:p>
    <w:p>
      <w:pPr>
        <w:keepNext w:val="0"/>
        <w:keepLines w:val="0"/>
        <w:pageBreakBefore w:val="0"/>
        <w:widowControl w:val="0"/>
        <w:kinsoku/>
        <w:wordWrap/>
        <w:overflowPunct/>
        <w:topLinePunct w:val="0"/>
        <w:autoSpaceDE/>
        <w:autoSpaceDN/>
        <w:bidi w:val="0"/>
        <w:adjustRightInd w:val="0"/>
        <w:snapToGrid w:val="0"/>
        <w:spacing w:before="313" w:beforeLines="100" w:after="313" w:afterLines="100" w:line="560" w:lineRule="exact"/>
        <w:jc w:val="center"/>
        <w:textAlignment w:val="auto"/>
        <w:rPr>
          <w:rFonts w:hint="eastAsia" w:ascii="黑体" w:hAnsi="Calibri" w:eastAsia="黑体" w:cs="黑体"/>
          <w:color w:val="000000" w:themeColor="text1"/>
          <w:sz w:val="32"/>
          <w:szCs w:val="32"/>
          <w:highlight w:val="none"/>
          <w:u w:val="none"/>
          <w14:textFill>
            <w14:solidFill>
              <w14:schemeClr w14:val="tx1"/>
            </w14:solidFill>
          </w14:textFill>
        </w:rPr>
      </w:pPr>
      <w:r>
        <w:rPr>
          <w:rFonts w:hint="eastAsia" w:ascii="黑体" w:hAnsi="Calibri" w:eastAsia="黑体" w:cs="黑体"/>
          <w:color w:val="000000" w:themeColor="text1"/>
          <w:sz w:val="32"/>
          <w:szCs w:val="32"/>
          <w:highlight w:val="none"/>
          <w:u w:val="none"/>
          <w14:textFill>
            <w14:solidFill>
              <w14:schemeClr w14:val="tx1"/>
            </w14:solidFill>
          </w14:textFill>
        </w:rPr>
        <w:t>第</w:t>
      </w:r>
      <w:r>
        <w:rPr>
          <w:rFonts w:hint="eastAsia" w:ascii="黑体" w:hAnsi="Calibri" w:eastAsia="黑体" w:cs="黑体"/>
          <w:color w:val="000000" w:themeColor="text1"/>
          <w:sz w:val="32"/>
          <w:szCs w:val="32"/>
          <w:highlight w:val="none"/>
          <w:u w:val="none"/>
          <w:lang w:eastAsia="zh-CN"/>
          <w14:textFill>
            <w14:solidFill>
              <w14:schemeClr w14:val="tx1"/>
            </w14:solidFill>
          </w14:textFill>
        </w:rPr>
        <w:t>七</w:t>
      </w:r>
      <w:r>
        <w:rPr>
          <w:rFonts w:hint="eastAsia" w:ascii="黑体" w:hAnsi="Calibri" w:eastAsia="黑体" w:cs="黑体"/>
          <w:color w:val="000000" w:themeColor="text1"/>
          <w:sz w:val="32"/>
          <w:szCs w:val="32"/>
          <w:highlight w:val="none"/>
          <w:u w:val="none"/>
          <w14:textFill>
            <w14:solidFill>
              <w14:schemeClr w14:val="tx1"/>
            </w14:solidFill>
          </w14:textFill>
        </w:rPr>
        <w:t>章</w:t>
      </w:r>
      <w:r>
        <w:rPr>
          <w:rFonts w:hint="eastAsia" w:ascii="黑体" w:hAnsi="Calibri" w:eastAsia="黑体" w:cs="黑体"/>
          <w:color w:val="000000" w:themeColor="text1"/>
          <w:sz w:val="32"/>
          <w:szCs w:val="32"/>
          <w:highlight w:val="none"/>
          <w:u w:val="none"/>
          <w:lang w:val="en-US" w:eastAsia="zh-CN"/>
          <w14:textFill>
            <w14:solidFill>
              <w14:schemeClr w14:val="tx1"/>
            </w14:solidFill>
          </w14:textFill>
        </w:rPr>
        <w:t xml:space="preserve"> </w:t>
      </w:r>
      <w:r>
        <w:rPr>
          <w:rFonts w:hint="eastAsia" w:ascii="黑体" w:hAnsi="Calibri" w:eastAsia="黑体" w:cs="黑体"/>
          <w:color w:val="000000" w:themeColor="text1"/>
          <w:sz w:val="32"/>
          <w:szCs w:val="32"/>
          <w:highlight w:val="none"/>
          <w:u w:val="none"/>
          <w14:textFill>
            <w14:solidFill>
              <w14:schemeClr w14:val="tx1"/>
            </w14:solidFill>
          </w14:textFill>
        </w:rPr>
        <w:t xml:space="preserve"> </w:t>
      </w:r>
      <w:r>
        <w:rPr>
          <w:rFonts w:hint="eastAsia" w:ascii="黑体" w:hAnsi="Calibri" w:eastAsia="黑体" w:cs="黑体"/>
          <w:color w:val="000000" w:themeColor="text1"/>
          <w:sz w:val="32"/>
          <w:szCs w:val="32"/>
          <w:highlight w:val="none"/>
          <w:u w:val="none"/>
          <w:lang w:eastAsia="zh-CN"/>
          <w14:textFill>
            <w14:solidFill>
              <w14:schemeClr w14:val="tx1"/>
            </w14:solidFill>
          </w14:textFill>
        </w:rPr>
        <w:t>绩效评价</w:t>
      </w:r>
      <w:r>
        <w:rPr>
          <w:rFonts w:hint="eastAsia" w:ascii="黑体" w:hAnsi="Calibri" w:eastAsia="黑体" w:cs="黑体"/>
          <w:color w:val="000000" w:themeColor="text1"/>
          <w:sz w:val="32"/>
          <w:szCs w:val="32"/>
          <w:highlight w:val="none"/>
          <w:u w:val="none"/>
          <w14:textFill>
            <w14:solidFill>
              <w14:schemeClr w14:val="tx1"/>
            </w14:solidFill>
          </w14:textFill>
        </w:rPr>
        <w:t>法律责任</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 w:hAnsi="仿宋" w:eastAsia="仿宋" w:cs="仿宋"/>
          <w:b/>
          <w:bCs/>
          <w:color w:val="auto"/>
          <w:sz w:val="32"/>
          <w:szCs w:val="32"/>
          <w:highlight w:val="none"/>
        </w:rPr>
      </w:pPr>
      <w:r>
        <w:rPr>
          <w:rFonts w:hint="eastAsia" w:ascii="黑体" w:hAnsi="黑体" w:eastAsia="黑体" w:cs="黑体"/>
          <w:b w:val="0"/>
          <w:bCs w:val="0"/>
          <w:color w:val="auto"/>
          <w:sz w:val="32"/>
          <w:szCs w:val="32"/>
          <w:highlight w:val="none"/>
        </w:rPr>
        <w:t>第</w:t>
      </w:r>
      <w:r>
        <w:rPr>
          <w:rFonts w:hint="eastAsia" w:ascii="黑体" w:hAnsi="黑体" w:eastAsia="黑体" w:cs="黑体"/>
          <w:b w:val="0"/>
          <w:bCs w:val="0"/>
          <w:color w:val="auto"/>
          <w:sz w:val="32"/>
          <w:szCs w:val="32"/>
          <w:highlight w:val="none"/>
          <w:lang w:eastAsia="zh-CN"/>
        </w:rPr>
        <w:t>三</w:t>
      </w:r>
      <w:r>
        <w:rPr>
          <w:rFonts w:hint="eastAsia" w:ascii="黑体" w:hAnsi="黑体" w:eastAsia="黑体" w:cs="黑体"/>
          <w:b w:val="0"/>
          <w:bCs w:val="0"/>
          <w:color w:val="auto"/>
          <w:sz w:val="32"/>
          <w:szCs w:val="32"/>
          <w:highlight w:val="none"/>
        </w:rPr>
        <w:t>十</w:t>
      </w:r>
      <w:r>
        <w:rPr>
          <w:rFonts w:hint="eastAsia" w:ascii="黑体" w:hAnsi="黑体" w:eastAsia="黑体" w:cs="黑体"/>
          <w:b w:val="0"/>
          <w:bCs w:val="0"/>
          <w:color w:val="auto"/>
          <w:sz w:val="32"/>
          <w:szCs w:val="32"/>
          <w:highlight w:val="none"/>
          <w:lang w:eastAsia="zh-CN"/>
        </w:rPr>
        <w:t>三</w:t>
      </w:r>
      <w:r>
        <w:rPr>
          <w:rFonts w:hint="eastAsia" w:ascii="黑体" w:hAnsi="黑体" w:eastAsia="黑体" w:cs="黑体"/>
          <w:b w:val="0"/>
          <w:bCs w:val="0"/>
          <w:color w:val="auto"/>
          <w:sz w:val="32"/>
          <w:szCs w:val="32"/>
          <w:highlight w:val="none"/>
        </w:rPr>
        <w:t>条</w:t>
      </w:r>
      <w:r>
        <w:rPr>
          <w:rFonts w:hint="eastAsia" w:ascii="仿宋" w:hAnsi="仿宋" w:eastAsia="仿宋" w:cs="仿宋"/>
          <w:b/>
          <w:bCs/>
          <w:color w:val="auto"/>
          <w:sz w:val="32"/>
          <w:szCs w:val="32"/>
          <w:highlight w:val="none"/>
        </w:rPr>
        <w:t xml:space="preserve"> </w:t>
      </w:r>
      <w:r>
        <w:rPr>
          <w:rFonts w:hint="eastAsia" w:ascii="仿宋" w:hAnsi="仿宋" w:eastAsia="仿宋" w:cs="仿宋"/>
          <w:bCs/>
          <w:color w:val="auto"/>
          <w:sz w:val="32"/>
          <w:szCs w:val="32"/>
          <w:highlight w:val="none"/>
        </w:rPr>
        <w:t>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keepNext w:val="0"/>
        <w:keepLines w:val="0"/>
        <w:pageBreakBefore w:val="0"/>
        <w:widowControl w:val="0"/>
        <w:kinsoku/>
        <w:wordWrap/>
        <w:overflowPunct/>
        <w:topLinePunct w:val="0"/>
        <w:autoSpaceDE/>
        <w:autoSpaceDN/>
        <w:bidi w:val="0"/>
        <w:spacing w:line="600" w:lineRule="exact"/>
        <w:ind w:firstLine="640"/>
        <w:textAlignment w:val="auto"/>
        <w:rPr>
          <w:rFonts w:hint="eastAsia" w:ascii="仿宋" w:hAnsi="仿宋" w:eastAsia="仿宋" w:cs="仿宋"/>
          <w:color w:val="auto"/>
          <w:sz w:val="32"/>
          <w:szCs w:val="32"/>
          <w:highlight w:val="none"/>
        </w:rPr>
      </w:pPr>
      <w:r>
        <w:rPr>
          <w:rFonts w:hint="eastAsia" w:ascii="黑体" w:hAnsi="黑体" w:eastAsia="黑体" w:cs="黑体"/>
          <w:b w:val="0"/>
          <w:bCs w:val="0"/>
          <w:color w:val="auto"/>
          <w:sz w:val="32"/>
          <w:szCs w:val="32"/>
          <w:highlight w:val="none"/>
        </w:rPr>
        <w:t>第三十</w:t>
      </w:r>
      <w:r>
        <w:rPr>
          <w:rFonts w:hint="eastAsia" w:ascii="黑体" w:hAnsi="黑体" w:eastAsia="黑体" w:cs="黑体"/>
          <w:b w:val="0"/>
          <w:bCs w:val="0"/>
          <w:color w:val="auto"/>
          <w:sz w:val="32"/>
          <w:szCs w:val="32"/>
          <w:highlight w:val="none"/>
          <w:lang w:eastAsia="zh-CN"/>
        </w:rPr>
        <w:t>四</w:t>
      </w:r>
      <w:r>
        <w:rPr>
          <w:rFonts w:hint="eastAsia" w:ascii="黑体" w:hAnsi="黑体" w:eastAsia="黑体" w:cs="黑体"/>
          <w:b w:val="0"/>
          <w:bCs w:val="0"/>
          <w:color w:val="auto"/>
          <w:sz w:val="32"/>
          <w:szCs w:val="32"/>
          <w:highlight w:val="none"/>
        </w:rPr>
        <w:t>条</w:t>
      </w:r>
      <w:r>
        <w:rPr>
          <w:rFonts w:hint="eastAsia" w:ascii="仿宋" w:hAnsi="仿宋" w:eastAsia="仿宋" w:cs="仿宋"/>
          <w:b/>
          <w:bCs/>
          <w:color w:val="auto"/>
          <w:sz w:val="32"/>
          <w:szCs w:val="32"/>
          <w:highlight w:val="none"/>
        </w:rPr>
        <w:t xml:space="preserve"> </w:t>
      </w:r>
      <w:r>
        <w:rPr>
          <w:rFonts w:hint="eastAsia" w:ascii="仿宋" w:hAnsi="仿宋" w:eastAsia="仿宋" w:cs="仿宋"/>
          <w:color w:val="auto"/>
          <w:sz w:val="32"/>
          <w:szCs w:val="32"/>
          <w:highlight w:val="none"/>
        </w:rPr>
        <w:t>财政部门、预算部门和单位及其工作人员在绩效评价管理工作中存在</w:t>
      </w:r>
      <w:r>
        <w:rPr>
          <w:rFonts w:hint="eastAsia" w:ascii="仿宋" w:hAnsi="仿宋" w:eastAsia="仿宋" w:cs="仿宋"/>
          <w:color w:val="auto"/>
          <w:sz w:val="32"/>
          <w:szCs w:val="32"/>
          <w:highlight w:val="none"/>
          <w:lang w:eastAsia="zh-CN"/>
        </w:rPr>
        <w:t>滥用职权、玩忽职守、徇私舞弊等</w:t>
      </w:r>
      <w:r>
        <w:rPr>
          <w:rFonts w:hint="eastAsia" w:ascii="仿宋" w:hAnsi="仿宋" w:eastAsia="仿宋" w:cs="仿宋"/>
          <w:color w:val="auto"/>
          <w:sz w:val="32"/>
          <w:szCs w:val="32"/>
          <w:highlight w:val="none"/>
        </w:rPr>
        <w:t>违法违纪行为的，依照《中华人民共和国预算法》、《中华人民共和国公务员法》、《中华人民共和国监察法》、《财政违法行为处罚处分条例》等国家有关规定追究相应责任；涉嫌犯罪的，依法移送司法机关处理。</w:t>
      </w:r>
    </w:p>
    <w:p>
      <w:pPr>
        <w:keepNext w:val="0"/>
        <w:keepLines w:val="0"/>
        <w:pageBreakBefore w:val="0"/>
        <w:widowControl w:val="0"/>
        <w:kinsoku/>
        <w:wordWrap/>
        <w:overflowPunct/>
        <w:topLinePunct w:val="0"/>
        <w:autoSpaceDE/>
        <w:autoSpaceDN/>
        <w:bidi w:val="0"/>
        <w:adjustRightInd w:val="0"/>
        <w:snapToGrid w:val="0"/>
        <w:spacing w:before="313" w:beforeLines="100" w:after="313" w:afterLines="100" w:line="560" w:lineRule="exact"/>
        <w:jc w:val="center"/>
        <w:textAlignment w:val="auto"/>
        <w:rPr>
          <w:rFonts w:hint="eastAsia" w:ascii="黑体" w:hAnsi="Calibri" w:eastAsia="黑体" w:cs="黑体"/>
          <w:color w:val="000000" w:themeColor="text1"/>
          <w:sz w:val="32"/>
          <w:szCs w:val="32"/>
          <w:highlight w:val="none"/>
          <w:u w:val="none"/>
          <w14:textFill>
            <w14:solidFill>
              <w14:schemeClr w14:val="tx1"/>
            </w14:solidFill>
          </w14:textFill>
        </w:rPr>
      </w:pPr>
      <w:r>
        <w:rPr>
          <w:rFonts w:hint="eastAsia" w:ascii="黑体" w:hAnsi="Calibri" w:eastAsia="黑体" w:cs="黑体"/>
          <w:color w:val="000000" w:themeColor="text1"/>
          <w:sz w:val="32"/>
          <w:szCs w:val="32"/>
          <w:highlight w:val="none"/>
          <w:u w:val="none"/>
          <w14:textFill>
            <w14:solidFill>
              <w14:schemeClr w14:val="tx1"/>
            </w14:solidFill>
          </w14:textFill>
        </w:rPr>
        <w:t>第</w:t>
      </w:r>
      <w:r>
        <w:rPr>
          <w:rFonts w:hint="eastAsia" w:ascii="黑体" w:hAnsi="Calibri" w:eastAsia="黑体" w:cs="黑体"/>
          <w:color w:val="000000" w:themeColor="text1"/>
          <w:sz w:val="32"/>
          <w:szCs w:val="32"/>
          <w:highlight w:val="none"/>
          <w:u w:val="none"/>
          <w:lang w:eastAsia="zh-CN"/>
          <w14:textFill>
            <w14:solidFill>
              <w14:schemeClr w14:val="tx1"/>
            </w14:solidFill>
          </w14:textFill>
        </w:rPr>
        <w:t>八</w:t>
      </w:r>
      <w:r>
        <w:rPr>
          <w:rFonts w:hint="eastAsia" w:ascii="黑体" w:hAnsi="Calibri" w:eastAsia="黑体" w:cs="黑体"/>
          <w:color w:val="000000" w:themeColor="text1"/>
          <w:sz w:val="32"/>
          <w:szCs w:val="32"/>
          <w:highlight w:val="none"/>
          <w:u w:val="none"/>
          <w14:textFill>
            <w14:solidFill>
              <w14:schemeClr w14:val="tx1"/>
            </w14:solidFill>
          </w14:textFill>
        </w:rPr>
        <w:t xml:space="preserve">章 </w:t>
      </w:r>
      <w:r>
        <w:rPr>
          <w:rFonts w:hint="eastAsia" w:ascii="黑体" w:eastAsia="黑体" w:cs="黑体"/>
          <w:color w:val="000000" w:themeColor="text1"/>
          <w:sz w:val="32"/>
          <w:szCs w:val="32"/>
          <w:highlight w:val="none"/>
          <w:u w:val="none"/>
          <w:lang w:val="en-US" w:eastAsia="zh-CN"/>
          <w14:textFill>
            <w14:solidFill>
              <w14:schemeClr w14:val="tx1"/>
            </w14:solidFill>
          </w14:textFill>
        </w:rPr>
        <w:t xml:space="preserve"> </w:t>
      </w:r>
      <w:r>
        <w:rPr>
          <w:rFonts w:hint="eastAsia" w:ascii="黑体" w:hAnsi="Calibri" w:eastAsia="黑体" w:cs="黑体"/>
          <w:color w:val="000000" w:themeColor="text1"/>
          <w:sz w:val="32"/>
          <w:szCs w:val="32"/>
          <w:highlight w:val="none"/>
          <w:u w:val="none"/>
          <w14:textFill>
            <w14:solidFill>
              <w14:schemeClr w14:val="tx1"/>
            </w14:solidFill>
          </w14:textFill>
        </w:rPr>
        <w:t>附</w:t>
      </w:r>
      <w:r>
        <w:rPr>
          <w:rFonts w:hint="eastAsia" w:ascii="黑体" w:eastAsia="黑体" w:cs="黑体"/>
          <w:color w:val="000000" w:themeColor="text1"/>
          <w:sz w:val="32"/>
          <w:szCs w:val="32"/>
          <w:highlight w:val="none"/>
          <w:u w:val="none"/>
          <w:lang w:val="en-US" w:eastAsia="zh-CN"/>
          <w14:textFill>
            <w14:solidFill>
              <w14:schemeClr w14:val="tx1"/>
            </w14:solidFill>
          </w14:textFill>
        </w:rPr>
        <w:t xml:space="preserve">  </w:t>
      </w:r>
      <w:r>
        <w:rPr>
          <w:rFonts w:hint="eastAsia" w:ascii="黑体" w:hAnsi="Calibri" w:eastAsia="黑体" w:cs="黑体"/>
          <w:color w:val="000000" w:themeColor="text1"/>
          <w:sz w:val="32"/>
          <w:szCs w:val="32"/>
          <w:highlight w:val="none"/>
          <w:u w:val="none"/>
          <w14:textFill>
            <w14:solidFill>
              <w14:schemeClr w14:val="tx1"/>
            </w14:solidFill>
          </w14:textFill>
        </w:rPr>
        <w:t>则</w:t>
      </w:r>
    </w:p>
    <w:p>
      <w:pPr>
        <w:keepNext w:val="0"/>
        <w:keepLines w:val="0"/>
        <w:pageBreakBefore w:val="0"/>
        <w:widowControl w:val="0"/>
        <w:kinsoku/>
        <w:wordWrap/>
        <w:overflowPunct/>
        <w:topLinePunct w:val="0"/>
        <w:autoSpaceDE/>
        <w:autoSpaceDN/>
        <w:bidi w:val="0"/>
        <w:spacing w:line="600" w:lineRule="exact"/>
        <w:ind w:firstLine="627" w:firstLineChars="196"/>
        <w:textAlignment w:val="auto"/>
        <w:rPr>
          <w:rFonts w:ascii="仿宋_GB2312" w:hAnsi="仿宋" w:eastAsia="仿宋_GB2312" w:cs="Times New Roman"/>
          <w:color w:val="auto"/>
          <w:sz w:val="32"/>
          <w:szCs w:val="32"/>
          <w:highlight w:val="none"/>
        </w:rPr>
      </w:pPr>
      <w:r>
        <w:rPr>
          <w:rFonts w:hint="eastAsia" w:ascii="黑体" w:hAnsi="黑体" w:eastAsia="黑体" w:cs="黑体"/>
          <w:b w:val="0"/>
          <w:bCs w:val="0"/>
          <w:color w:val="auto"/>
          <w:sz w:val="32"/>
          <w:szCs w:val="32"/>
          <w:highlight w:val="none"/>
        </w:rPr>
        <w:t>第</w:t>
      </w:r>
      <w:r>
        <w:rPr>
          <w:rFonts w:hint="eastAsia" w:ascii="黑体" w:hAnsi="黑体" w:eastAsia="黑体" w:cs="黑体"/>
          <w:b w:val="0"/>
          <w:bCs w:val="0"/>
          <w:color w:val="auto"/>
          <w:sz w:val="32"/>
          <w:szCs w:val="32"/>
          <w:highlight w:val="none"/>
          <w:lang w:eastAsia="zh-CN"/>
        </w:rPr>
        <w:t>三十五</w:t>
      </w:r>
      <w:r>
        <w:rPr>
          <w:rFonts w:hint="eastAsia" w:ascii="黑体" w:hAnsi="黑体" w:eastAsia="黑体" w:cs="黑体"/>
          <w:b w:val="0"/>
          <w:bCs w:val="0"/>
          <w:color w:val="auto"/>
          <w:sz w:val="32"/>
          <w:szCs w:val="32"/>
          <w:highlight w:val="none"/>
        </w:rPr>
        <w:t>条</w:t>
      </w:r>
      <w:r>
        <w:rPr>
          <w:rFonts w:hint="eastAsia" w:ascii="仿宋_GB2312" w:hAnsi="仿宋" w:eastAsia="仿宋_GB2312" w:cs="仿宋"/>
          <w:b/>
          <w:bCs/>
          <w:color w:val="auto"/>
          <w:sz w:val="32"/>
          <w:szCs w:val="32"/>
          <w:highlight w:val="none"/>
        </w:rPr>
        <w:t xml:space="preserve"> </w:t>
      </w:r>
      <w:r>
        <w:rPr>
          <w:rFonts w:hint="eastAsia" w:ascii="仿宋_GB2312" w:hAnsi="仿宋" w:eastAsia="仿宋_GB2312" w:cs="仿宋"/>
          <w:b w:val="0"/>
          <w:bCs w:val="0"/>
          <w:color w:val="auto"/>
          <w:sz w:val="32"/>
          <w:szCs w:val="32"/>
          <w:highlight w:val="none"/>
          <w:lang w:eastAsia="zh-CN"/>
        </w:rPr>
        <w:t>预算</w:t>
      </w:r>
      <w:r>
        <w:rPr>
          <w:rFonts w:hint="eastAsia" w:ascii="仿宋_GB2312" w:hAnsi="仿宋" w:eastAsia="仿宋_GB2312" w:cs="仿宋"/>
          <w:color w:val="auto"/>
          <w:sz w:val="32"/>
          <w:szCs w:val="32"/>
          <w:highlight w:val="none"/>
        </w:rPr>
        <w:t>部门（单位）可结合实际，制定具体的管理办法和实施细则。</w:t>
      </w:r>
    </w:p>
    <w:p>
      <w:pPr>
        <w:keepNext w:val="0"/>
        <w:keepLines w:val="0"/>
        <w:pageBreakBefore w:val="0"/>
        <w:widowControl w:val="0"/>
        <w:kinsoku/>
        <w:wordWrap/>
        <w:overflowPunct/>
        <w:topLinePunct w:val="0"/>
        <w:autoSpaceDE/>
        <w:autoSpaceDN/>
        <w:bidi w:val="0"/>
        <w:spacing w:line="600" w:lineRule="exact"/>
        <w:ind w:firstLine="627" w:firstLineChars="196"/>
        <w:textAlignment w:val="auto"/>
        <w:rPr>
          <w:rFonts w:ascii="仿宋_GB2312" w:hAnsi="仿宋" w:eastAsia="仿宋_GB2312" w:cs="Times New Roman"/>
          <w:color w:val="auto"/>
          <w:sz w:val="32"/>
          <w:szCs w:val="32"/>
          <w:highlight w:val="none"/>
        </w:rPr>
      </w:pPr>
      <w:r>
        <w:rPr>
          <w:rFonts w:hint="eastAsia" w:ascii="黑体" w:hAnsi="黑体" w:eastAsia="黑体" w:cs="黑体"/>
          <w:b w:val="0"/>
          <w:bCs w:val="0"/>
          <w:color w:val="auto"/>
          <w:sz w:val="32"/>
          <w:szCs w:val="32"/>
          <w:highlight w:val="none"/>
        </w:rPr>
        <w:t>第</w:t>
      </w:r>
      <w:r>
        <w:rPr>
          <w:rFonts w:hint="eastAsia" w:ascii="黑体" w:hAnsi="黑体" w:eastAsia="黑体" w:cs="黑体"/>
          <w:b w:val="0"/>
          <w:bCs w:val="0"/>
          <w:color w:val="auto"/>
          <w:sz w:val="32"/>
          <w:szCs w:val="32"/>
          <w:highlight w:val="none"/>
          <w:lang w:eastAsia="zh-CN"/>
        </w:rPr>
        <w:t>三十六</w:t>
      </w:r>
      <w:r>
        <w:rPr>
          <w:rFonts w:hint="eastAsia" w:ascii="黑体" w:hAnsi="黑体" w:eastAsia="黑体" w:cs="黑体"/>
          <w:b w:val="0"/>
          <w:bCs w:val="0"/>
          <w:color w:val="auto"/>
          <w:sz w:val="32"/>
          <w:szCs w:val="32"/>
          <w:highlight w:val="none"/>
        </w:rPr>
        <w:t>条</w:t>
      </w:r>
      <w:r>
        <w:rPr>
          <w:rFonts w:hint="eastAsia" w:ascii="仿宋_GB2312" w:hAnsi="仿宋" w:eastAsia="仿宋_GB2312" w:cs="仿宋"/>
          <w:b/>
          <w:bCs/>
          <w:color w:val="auto"/>
          <w:sz w:val="32"/>
          <w:szCs w:val="32"/>
          <w:highlight w:val="none"/>
        </w:rPr>
        <w:t xml:space="preserve"> </w:t>
      </w:r>
      <w:r>
        <w:rPr>
          <w:rFonts w:hint="eastAsia" w:ascii="仿宋_GB2312" w:hAnsi="仿宋" w:eastAsia="仿宋_GB2312" w:cs="仿宋"/>
          <w:color w:val="auto"/>
          <w:sz w:val="32"/>
          <w:szCs w:val="32"/>
          <w:highlight w:val="none"/>
        </w:rPr>
        <w:t>本办法由</w:t>
      </w:r>
      <w:r>
        <w:rPr>
          <w:rFonts w:hint="eastAsia" w:ascii="仿宋_GB2312" w:hAnsi="仿宋" w:eastAsia="仿宋_GB2312" w:cs="仿宋"/>
          <w:color w:val="auto"/>
          <w:sz w:val="32"/>
          <w:szCs w:val="32"/>
          <w:highlight w:val="none"/>
          <w:lang w:eastAsia="zh-CN"/>
        </w:rPr>
        <w:t>许昌市财政局</w:t>
      </w:r>
      <w:r>
        <w:rPr>
          <w:rFonts w:hint="eastAsia" w:ascii="仿宋_GB2312" w:hAnsi="仿宋" w:eastAsia="仿宋_GB2312" w:cs="仿宋"/>
          <w:color w:val="auto"/>
          <w:sz w:val="32"/>
          <w:szCs w:val="32"/>
          <w:highlight w:val="none"/>
        </w:rPr>
        <w:t>负责解释。</w:t>
      </w:r>
    </w:p>
    <w:p>
      <w:pPr>
        <w:keepNext w:val="0"/>
        <w:keepLines w:val="0"/>
        <w:pageBreakBefore w:val="0"/>
        <w:widowControl w:val="0"/>
        <w:kinsoku/>
        <w:wordWrap/>
        <w:overflowPunct/>
        <w:topLinePunct w:val="0"/>
        <w:autoSpaceDE/>
        <w:autoSpaceDN/>
        <w:bidi w:val="0"/>
        <w:spacing w:line="600" w:lineRule="exact"/>
        <w:ind w:firstLine="627" w:firstLineChars="196"/>
        <w:textAlignment w:val="auto"/>
        <w:rPr>
          <w:rFonts w:ascii="仿宋_GB2312" w:hAnsi="仿宋" w:eastAsia="仿宋_GB2312" w:cs="Times New Roman"/>
          <w:color w:val="auto"/>
          <w:sz w:val="32"/>
          <w:szCs w:val="32"/>
          <w:highlight w:val="none"/>
        </w:rPr>
      </w:pPr>
      <w:r>
        <w:rPr>
          <w:rFonts w:hint="eastAsia" w:ascii="黑体" w:hAnsi="黑体" w:eastAsia="黑体" w:cs="黑体"/>
          <w:b w:val="0"/>
          <w:bCs w:val="0"/>
          <w:color w:val="auto"/>
          <w:sz w:val="32"/>
          <w:szCs w:val="32"/>
          <w:highlight w:val="none"/>
        </w:rPr>
        <w:t>第三十</w:t>
      </w:r>
      <w:r>
        <w:rPr>
          <w:rFonts w:hint="eastAsia" w:ascii="黑体" w:hAnsi="黑体" w:eastAsia="黑体" w:cs="黑体"/>
          <w:b w:val="0"/>
          <w:bCs w:val="0"/>
          <w:color w:val="auto"/>
          <w:sz w:val="32"/>
          <w:szCs w:val="32"/>
          <w:highlight w:val="none"/>
          <w:lang w:eastAsia="zh-CN"/>
        </w:rPr>
        <w:t>七</w:t>
      </w:r>
      <w:r>
        <w:rPr>
          <w:rFonts w:hint="eastAsia" w:ascii="黑体" w:hAnsi="黑体" w:eastAsia="黑体" w:cs="黑体"/>
          <w:b w:val="0"/>
          <w:bCs w:val="0"/>
          <w:color w:val="auto"/>
          <w:sz w:val="32"/>
          <w:szCs w:val="32"/>
          <w:highlight w:val="none"/>
        </w:rPr>
        <w:t>条</w:t>
      </w:r>
      <w:r>
        <w:rPr>
          <w:rFonts w:hint="eastAsia" w:ascii="仿宋_GB2312" w:hAnsi="仿宋" w:eastAsia="仿宋_GB2312" w:cs="仿宋"/>
          <w:b/>
          <w:bCs/>
          <w:color w:val="auto"/>
          <w:sz w:val="32"/>
          <w:szCs w:val="32"/>
          <w:highlight w:val="none"/>
        </w:rPr>
        <w:t xml:space="preserve"> </w:t>
      </w:r>
      <w:r>
        <w:rPr>
          <w:rFonts w:hint="eastAsia" w:ascii="仿宋_GB2312" w:hAnsi="仿宋" w:eastAsia="仿宋_GB2312" w:cs="仿宋"/>
          <w:color w:val="auto"/>
          <w:sz w:val="32"/>
          <w:szCs w:val="32"/>
          <w:highlight w:val="none"/>
        </w:rPr>
        <w:t>本办法自发布之日起施行。</w:t>
      </w:r>
    </w:p>
    <w:p>
      <w:pPr>
        <w:keepNext w:val="0"/>
        <w:keepLines w:val="0"/>
        <w:pageBreakBefore w:val="0"/>
        <w:widowControl w:val="0"/>
        <w:kinsoku/>
        <w:wordWrap/>
        <w:overflowPunct/>
        <w:topLinePunct w:val="0"/>
        <w:autoSpaceDE/>
        <w:autoSpaceDN/>
        <w:bidi w:val="0"/>
        <w:spacing w:line="600" w:lineRule="exact"/>
        <w:ind w:firstLine="0" w:firstLineChars="0"/>
        <w:textAlignment w:val="auto"/>
        <w:rPr>
          <w:rFonts w:ascii="仿宋_GB2312" w:hAnsi="仿宋" w:eastAsia="仿宋_GB2312" w:cs="Times New Roman"/>
          <w:color w:val="auto"/>
          <w:sz w:val="32"/>
          <w:szCs w:val="32"/>
          <w:highlight w:val="none"/>
        </w:rPr>
      </w:pPr>
    </w:p>
    <w:p>
      <w:pPr>
        <w:keepNext w:val="0"/>
        <w:keepLines w:val="0"/>
        <w:pageBreakBefore w:val="0"/>
        <w:widowControl w:val="0"/>
        <w:tabs>
          <w:tab w:val="left" w:pos="1701"/>
        </w:tabs>
        <w:kinsoku/>
        <w:wordWrap/>
        <w:overflowPunct/>
        <w:topLinePunct w:val="0"/>
        <w:autoSpaceDE/>
        <w:autoSpaceDN/>
        <w:bidi w:val="0"/>
        <w:spacing w:line="360" w:lineRule="auto"/>
        <w:ind w:firstLine="640" w:firstLineChars="200"/>
        <w:textAlignment w:val="auto"/>
        <w:rPr>
          <w:rFonts w:hint="eastAsia" w:ascii="仿宋_GB2312" w:hAnsi="仿宋" w:eastAsia="仿宋_GB2312"/>
          <w:color w:val="auto"/>
          <w:sz w:val="32"/>
          <w:szCs w:val="32"/>
          <w:highlight w:val="none"/>
        </w:rPr>
      </w:pPr>
      <w:r>
        <w:rPr>
          <w:rFonts w:hint="eastAsia" w:ascii="仿宋_GB2312" w:hAnsi="仿宋" w:eastAsia="仿宋_GB2312" w:cs="仿宋"/>
          <w:color w:val="auto"/>
          <w:sz w:val="32"/>
          <w:szCs w:val="32"/>
          <w:highlight w:val="none"/>
        </w:rPr>
        <w:t>附件：</w:t>
      </w:r>
      <w:r>
        <w:rPr>
          <w:rFonts w:hint="eastAsia" w:ascii="仿宋_GB2312" w:hAnsi="仿宋" w:eastAsia="仿宋_GB2312" w:cs="仿宋"/>
          <w:color w:val="auto"/>
          <w:sz w:val="32"/>
          <w:szCs w:val="32"/>
          <w:highlight w:val="none"/>
          <w:lang w:val="en-US" w:eastAsia="zh-CN"/>
        </w:rPr>
        <w:t>1</w:t>
      </w:r>
      <w:r>
        <w:rPr>
          <w:rFonts w:hint="eastAsia" w:ascii="仿宋_GB2312" w:hAnsi="仿宋" w:eastAsia="仿宋_GB2312"/>
          <w:color w:val="auto"/>
          <w:sz w:val="32"/>
          <w:szCs w:val="32"/>
          <w:highlight w:val="none"/>
        </w:rPr>
        <w:t>.部门整体</w:t>
      </w:r>
      <w:r>
        <w:rPr>
          <w:rFonts w:ascii="仿宋_GB2312" w:hAnsi="仿宋" w:eastAsia="仿宋_GB2312"/>
          <w:color w:val="auto"/>
          <w:sz w:val="32"/>
          <w:szCs w:val="32"/>
          <w:highlight w:val="none"/>
        </w:rPr>
        <w:t>自评表</w:t>
      </w:r>
    </w:p>
    <w:p>
      <w:pPr>
        <w:keepNext w:val="0"/>
        <w:keepLines w:val="0"/>
        <w:pageBreakBefore w:val="0"/>
        <w:widowControl w:val="0"/>
        <w:tabs>
          <w:tab w:val="left" w:pos="1701"/>
        </w:tabs>
        <w:kinsoku/>
        <w:wordWrap/>
        <w:overflowPunct/>
        <w:topLinePunct w:val="0"/>
        <w:autoSpaceDE/>
        <w:autoSpaceDN/>
        <w:bidi w:val="0"/>
        <w:spacing w:line="360" w:lineRule="auto"/>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lang w:val="en-US" w:eastAsia="zh-CN"/>
        </w:rPr>
        <w:t>　　　2.</w:t>
      </w:r>
      <w:r>
        <w:rPr>
          <w:rFonts w:hint="eastAsia" w:ascii="仿宋_GB2312" w:hAnsi="仿宋" w:eastAsia="仿宋_GB2312"/>
          <w:color w:val="auto"/>
          <w:sz w:val="32"/>
          <w:szCs w:val="32"/>
          <w:highlight w:val="none"/>
        </w:rPr>
        <w:t>部门整体自评报告</w:t>
      </w:r>
      <w:r>
        <w:rPr>
          <w:rFonts w:hint="eastAsia" w:ascii="仿宋_GB2312" w:hAnsi="仿宋" w:eastAsia="仿宋_GB2312"/>
          <w:color w:val="auto"/>
          <w:sz w:val="32"/>
          <w:szCs w:val="32"/>
          <w:highlight w:val="none"/>
          <w:lang w:eastAsia="zh-CN"/>
        </w:rPr>
        <w:t>（参考提纲）</w:t>
      </w:r>
    </w:p>
    <w:p>
      <w:pPr>
        <w:keepNext w:val="0"/>
        <w:keepLines w:val="0"/>
        <w:pageBreakBefore w:val="0"/>
        <w:widowControl w:val="0"/>
        <w:kinsoku/>
        <w:wordWrap/>
        <w:overflowPunct/>
        <w:topLinePunct w:val="0"/>
        <w:autoSpaceDE/>
        <w:autoSpaceDN/>
        <w:bidi w:val="0"/>
        <w:spacing w:line="360" w:lineRule="auto"/>
        <w:ind w:firstLine="640" w:firstLineChars="200"/>
        <w:textAlignment w:val="auto"/>
        <w:rPr>
          <w:rFonts w:hint="eastAsia" w:ascii="仿宋_GB2312" w:hAnsi="仿宋" w:eastAsia="仿宋_GB2312" w:cs="仿宋"/>
          <w:color w:val="auto"/>
          <w:sz w:val="32"/>
          <w:szCs w:val="32"/>
          <w:highlight w:val="none"/>
          <w:lang w:val="en-US" w:eastAsia="zh-CN"/>
        </w:rPr>
      </w:pPr>
      <w:r>
        <w:rPr>
          <w:rFonts w:hint="eastAsia" w:ascii="仿宋_GB2312" w:hAnsi="仿宋" w:eastAsia="仿宋_GB2312" w:cs="仿宋"/>
          <w:color w:val="auto"/>
          <w:sz w:val="32"/>
          <w:szCs w:val="32"/>
          <w:highlight w:val="none"/>
          <w:lang w:val="en-US" w:eastAsia="zh-CN"/>
        </w:rPr>
        <w:t>　　　3.项目支出绩效自评表</w:t>
      </w:r>
    </w:p>
    <w:p>
      <w:pPr>
        <w:keepNext w:val="0"/>
        <w:keepLines w:val="0"/>
        <w:pageBreakBefore w:val="0"/>
        <w:widowControl w:val="0"/>
        <w:kinsoku/>
        <w:wordWrap/>
        <w:overflowPunct/>
        <w:topLinePunct w:val="0"/>
        <w:autoSpaceDE/>
        <w:autoSpaceDN/>
        <w:bidi w:val="0"/>
        <w:spacing w:line="360" w:lineRule="auto"/>
        <w:ind w:firstLine="640" w:firstLineChars="200"/>
        <w:textAlignment w:val="auto"/>
        <w:rPr>
          <w:rFonts w:hint="default" w:ascii="仿宋_GB2312" w:hAnsi="仿宋" w:eastAsia="仿宋_GB2312" w:cs="仿宋"/>
          <w:color w:val="auto"/>
          <w:sz w:val="32"/>
          <w:szCs w:val="32"/>
          <w:highlight w:val="none"/>
          <w:lang w:val="en-US" w:eastAsia="zh-CN"/>
        </w:rPr>
      </w:pPr>
      <w:r>
        <w:rPr>
          <w:rFonts w:hint="eastAsia" w:ascii="仿宋_GB2312" w:hAnsi="仿宋" w:eastAsia="仿宋_GB2312" w:cs="仿宋"/>
          <w:color w:val="auto"/>
          <w:sz w:val="32"/>
          <w:szCs w:val="32"/>
          <w:highlight w:val="none"/>
          <w:lang w:val="en-US" w:eastAsia="zh-CN"/>
        </w:rPr>
        <w:t>　　　4.部门项目支出绩效自评报告（参考提纲）</w:t>
      </w:r>
    </w:p>
    <w:p>
      <w:pPr>
        <w:keepNext w:val="0"/>
        <w:keepLines w:val="0"/>
        <w:pageBreakBefore w:val="0"/>
        <w:widowControl w:val="0"/>
        <w:kinsoku/>
        <w:wordWrap/>
        <w:overflowPunct/>
        <w:topLinePunct w:val="0"/>
        <w:autoSpaceDE/>
        <w:autoSpaceDN/>
        <w:bidi w:val="0"/>
        <w:spacing w:line="360" w:lineRule="auto"/>
        <w:ind w:firstLine="640" w:firstLineChars="200"/>
        <w:textAlignment w:val="auto"/>
        <w:rPr>
          <w:rFonts w:ascii="仿宋_GB2312" w:hAnsi="仿宋" w:eastAsia="仿宋_GB2312" w:cs="Times New Roman"/>
          <w:color w:val="auto"/>
          <w:sz w:val="32"/>
          <w:szCs w:val="32"/>
          <w:highlight w:val="none"/>
        </w:rPr>
      </w:pPr>
      <w:r>
        <w:rPr>
          <w:rFonts w:hint="eastAsia" w:ascii="仿宋_GB2312" w:hAnsi="仿宋" w:eastAsia="仿宋_GB2312" w:cs="仿宋"/>
          <w:color w:val="auto"/>
          <w:sz w:val="32"/>
          <w:szCs w:val="32"/>
          <w:highlight w:val="none"/>
          <w:lang w:val="en-US" w:eastAsia="zh-CN"/>
        </w:rPr>
        <w:t>　　　5.</w:t>
      </w:r>
      <w:r>
        <w:rPr>
          <w:rFonts w:hint="eastAsia" w:ascii="仿宋_GB2312" w:hAnsi="仿宋" w:eastAsia="仿宋_GB2312" w:cs="仿宋"/>
          <w:color w:val="auto"/>
          <w:sz w:val="32"/>
          <w:szCs w:val="32"/>
          <w:highlight w:val="none"/>
          <w:lang w:eastAsia="zh-CN"/>
        </w:rPr>
        <w:t>市</w:t>
      </w:r>
      <w:r>
        <w:rPr>
          <w:rFonts w:hint="eastAsia" w:ascii="仿宋_GB2312" w:hAnsi="仿宋" w:eastAsia="仿宋_GB2312" w:cs="仿宋"/>
          <w:color w:val="auto"/>
          <w:sz w:val="32"/>
          <w:szCs w:val="32"/>
          <w:highlight w:val="none"/>
        </w:rPr>
        <w:t>级财政预算项目绩效评价指标体系</w:t>
      </w:r>
    </w:p>
    <w:p>
      <w:pPr>
        <w:keepNext w:val="0"/>
        <w:keepLines w:val="0"/>
        <w:pageBreakBefore w:val="0"/>
        <w:widowControl w:val="0"/>
        <w:numPr>
          <w:ilvl w:val="-1"/>
          <w:numId w:val="0"/>
        </w:numPr>
        <w:kinsoku/>
        <w:wordWrap/>
        <w:overflowPunct/>
        <w:topLinePunct w:val="0"/>
        <w:autoSpaceDE/>
        <w:autoSpaceDN/>
        <w:bidi w:val="0"/>
        <w:spacing w:line="360" w:lineRule="auto"/>
        <w:ind w:firstLine="640" w:firstLineChars="200"/>
        <w:textAlignment w:val="auto"/>
        <w:rPr>
          <w:rFonts w:hint="eastAsia" w:ascii="仿宋_GB2312" w:hAnsi="仿宋" w:eastAsia="仿宋_GB2312" w:cs="仿宋"/>
          <w:color w:val="auto"/>
          <w:sz w:val="32"/>
          <w:szCs w:val="32"/>
          <w:highlight w:val="none"/>
        </w:rPr>
      </w:pPr>
      <w:r>
        <w:rPr>
          <w:rFonts w:hint="eastAsia" w:ascii="仿宋_GB2312" w:hAnsi="仿宋" w:eastAsia="仿宋_GB2312" w:cs="仿宋"/>
          <w:color w:val="auto"/>
          <w:sz w:val="32"/>
          <w:szCs w:val="32"/>
          <w:highlight w:val="none"/>
          <w:lang w:val="en-US" w:eastAsia="zh-CN"/>
        </w:rPr>
        <w:t>　　　6.</w:t>
      </w:r>
      <w:r>
        <w:rPr>
          <w:rFonts w:hint="eastAsia" w:ascii="仿宋_GB2312" w:hAnsi="仿宋" w:eastAsia="仿宋_GB2312" w:cs="仿宋"/>
          <w:color w:val="auto"/>
          <w:sz w:val="32"/>
          <w:szCs w:val="32"/>
          <w:highlight w:val="none"/>
          <w:lang w:eastAsia="zh-CN"/>
        </w:rPr>
        <w:t>市</w:t>
      </w:r>
      <w:r>
        <w:rPr>
          <w:rFonts w:hint="eastAsia" w:ascii="仿宋_GB2312" w:hAnsi="仿宋" w:eastAsia="仿宋_GB2312" w:cs="仿宋"/>
          <w:color w:val="auto"/>
          <w:sz w:val="32"/>
          <w:szCs w:val="32"/>
          <w:highlight w:val="none"/>
        </w:rPr>
        <w:t>级财政预算项目绩效评价报告（参考文本）</w:t>
      </w:r>
    </w:p>
    <w:p>
      <w:pPr>
        <w:keepNext w:val="0"/>
        <w:keepLines w:val="0"/>
        <w:pageBreakBefore w:val="0"/>
        <w:widowControl w:val="0"/>
        <w:numPr>
          <w:ilvl w:val="-1"/>
          <w:numId w:val="0"/>
        </w:numPr>
        <w:kinsoku/>
        <w:wordWrap/>
        <w:overflowPunct/>
        <w:topLinePunct w:val="0"/>
        <w:autoSpaceDE/>
        <w:autoSpaceDN/>
        <w:bidi w:val="0"/>
        <w:spacing w:line="360" w:lineRule="auto"/>
        <w:ind w:firstLine="640" w:firstLineChars="200"/>
        <w:textAlignment w:val="auto"/>
        <w:rPr>
          <w:rFonts w:hint="eastAsia" w:ascii="仿宋_GB2312" w:hAnsi="仿宋" w:eastAsia="仿宋_GB2312" w:cs="仿宋"/>
          <w:color w:val="auto"/>
          <w:sz w:val="32"/>
          <w:szCs w:val="32"/>
          <w:highlight w:val="none"/>
        </w:rPr>
      </w:pPr>
    </w:p>
    <w:sectPr>
      <w:footerReference r:id="rId3" w:type="default"/>
      <w:pgSz w:w="11906" w:h="16838"/>
      <w:pgMar w:top="1440" w:right="1800" w:bottom="1440" w:left="1800" w:header="851" w:footer="992" w:gutter="0"/>
      <w:pgNumType w:fmt="numberInDash" w:start="46"/>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cs="Times New Roman"/>
        <w:sz w:val="24"/>
        <w:szCs w:val="24"/>
      </w:rPr>
    </w:pPr>
    <w:r>
      <w:rPr>
        <w:sz w:val="24"/>
      </w:rP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jc w:val="center"/>
                          </w:pPr>
                          <w:r>
                            <w:rPr>
                              <w:sz w:val="24"/>
                              <w:szCs w:val="24"/>
                            </w:rPr>
                            <w:fldChar w:fldCharType="begin"/>
                          </w:r>
                          <w:r>
                            <w:rPr>
                              <w:sz w:val="24"/>
                              <w:szCs w:val="24"/>
                            </w:rPr>
                            <w:instrText xml:space="preserve">PAGE   \* MERGEFORMAT</w:instrText>
                          </w:r>
                          <w:r>
                            <w:rPr>
                              <w:sz w:val="24"/>
                              <w:szCs w:val="24"/>
                            </w:rPr>
                            <w:fldChar w:fldCharType="separate"/>
                          </w:r>
                          <w:r>
                            <w:rPr>
                              <w:sz w:val="24"/>
                              <w:szCs w:val="24"/>
                              <w:lang w:val="zh-CN"/>
                            </w:rPr>
                            <w:t>21</w:t>
                          </w:r>
                          <w:r>
                            <w:rPr>
                              <w:sz w:val="24"/>
                              <w:szCs w:val="2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jc w:val="center"/>
                    </w:pPr>
                    <w:r>
                      <w:rPr>
                        <w:sz w:val="24"/>
                        <w:szCs w:val="24"/>
                      </w:rPr>
                      <w:fldChar w:fldCharType="begin"/>
                    </w:r>
                    <w:r>
                      <w:rPr>
                        <w:sz w:val="24"/>
                        <w:szCs w:val="24"/>
                      </w:rPr>
                      <w:instrText xml:space="preserve">PAGE   \* MERGEFORMAT</w:instrText>
                    </w:r>
                    <w:r>
                      <w:rPr>
                        <w:sz w:val="24"/>
                        <w:szCs w:val="24"/>
                      </w:rPr>
                      <w:fldChar w:fldCharType="separate"/>
                    </w:r>
                    <w:r>
                      <w:rPr>
                        <w:sz w:val="24"/>
                        <w:szCs w:val="24"/>
                        <w:lang w:val="zh-CN"/>
                      </w:rPr>
                      <w:t>21</w:t>
                    </w:r>
                    <w:r>
                      <w:rPr>
                        <w:sz w:val="24"/>
                        <w:szCs w:val="24"/>
                      </w:rPr>
                      <w:fldChar w:fldCharType="end"/>
                    </w:r>
                  </w:p>
                </w:txbxContent>
              </v:textbox>
            </v:shape>
          </w:pict>
        </mc:Fallback>
      </mc:AlternateContent>
    </w:r>
  </w:p>
  <w:p>
    <w:pPr>
      <w:pStyle w:val="3"/>
      <w:jc w:val="both"/>
      <w:rPr>
        <w:rFonts w:cs="Times New Roman"/>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3E88"/>
    <w:rsid w:val="00007623"/>
    <w:rsid w:val="00010AEF"/>
    <w:rsid w:val="000334D7"/>
    <w:rsid w:val="00034243"/>
    <w:rsid w:val="000358AF"/>
    <w:rsid w:val="00041E73"/>
    <w:rsid w:val="0004251F"/>
    <w:rsid w:val="0004770D"/>
    <w:rsid w:val="00050460"/>
    <w:rsid w:val="00054145"/>
    <w:rsid w:val="0007034D"/>
    <w:rsid w:val="000B736F"/>
    <w:rsid w:val="000C0762"/>
    <w:rsid w:val="000C4A82"/>
    <w:rsid w:val="000C7D04"/>
    <w:rsid w:val="000E1678"/>
    <w:rsid w:val="000E6F16"/>
    <w:rsid w:val="000E7EF2"/>
    <w:rsid w:val="000F7F07"/>
    <w:rsid w:val="001523D6"/>
    <w:rsid w:val="0016603B"/>
    <w:rsid w:val="001A1210"/>
    <w:rsid w:val="001A4055"/>
    <w:rsid w:val="001D12CB"/>
    <w:rsid w:val="001D58CC"/>
    <w:rsid w:val="00202F96"/>
    <w:rsid w:val="00212D20"/>
    <w:rsid w:val="00212DBB"/>
    <w:rsid w:val="00221684"/>
    <w:rsid w:val="00224FDD"/>
    <w:rsid w:val="002309B9"/>
    <w:rsid w:val="00234B23"/>
    <w:rsid w:val="0024346D"/>
    <w:rsid w:val="00266B39"/>
    <w:rsid w:val="00284C50"/>
    <w:rsid w:val="002C1C96"/>
    <w:rsid w:val="002D0935"/>
    <w:rsid w:val="002E1189"/>
    <w:rsid w:val="002E5A6E"/>
    <w:rsid w:val="00333C93"/>
    <w:rsid w:val="00354B0C"/>
    <w:rsid w:val="003C430B"/>
    <w:rsid w:val="003F3BFF"/>
    <w:rsid w:val="0041748A"/>
    <w:rsid w:val="004238F6"/>
    <w:rsid w:val="00425886"/>
    <w:rsid w:val="00432788"/>
    <w:rsid w:val="004808FA"/>
    <w:rsid w:val="004810B7"/>
    <w:rsid w:val="00492A9C"/>
    <w:rsid w:val="004944A2"/>
    <w:rsid w:val="0049760E"/>
    <w:rsid w:val="004977B5"/>
    <w:rsid w:val="004C5D8F"/>
    <w:rsid w:val="004C769E"/>
    <w:rsid w:val="004D703B"/>
    <w:rsid w:val="005036F7"/>
    <w:rsid w:val="00523C82"/>
    <w:rsid w:val="00556C4E"/>
    <w:rsid w:val="0057356E"/>
    <w:rsid w:val="00594502"/>
    <w:rsid w:val="005A565D"/>
    <w:rsid w:val="005C0A39"/>
    <w:rsid w:val="00605813"/>
    <w:rsid w:val="00620FED"/>
    <w:rsid w:val="006525AD"/>
    <w:rsid w:val="00676CF1"/>
    <w:rsid w:val="00684435"/>
    <w:rsid w:val="00684952"/>
    <w:rsid w:val="006B10B2"/>
    <w:rsid w:val="006B123D"/>
    <w:rsid w:val="006B6EE2"/>
    <w:rsid w:val="006F2832"/>
    <w:rsid w:val="007153F7"/>
    <w:rsid w:val="00723165"/>
    <w:rsid w:val="00723437"/>
    <w:rsid w:val="00765A83"/>
    <w:rsid w:val="00771DD0"/>
    <w:rsid w:val="00773987"/>
    <w:rsid w:val="007B0FBE"/>
    <w:rsid w:val="007E67E4"/>
    <w:rsid w:val="00806518"/>
    <w:rsid w:val="008105C6"/>
    <w:rsid w:val="00810AF8"/>
    <w:rsid w:val="00812322"/>
    <w:rsid w:val="0083193E"/>
    <w:rsid w:val="00852BA7"/>
    <w:rsid w:val="00862E46"/>
    <w:rsid w:val="00881B65"/>
    <w:rsid w:val="008856E4"/>
    <w:rsid w:val="008A63B1"/>
    <w:rsid w:val="008F1BD6"/>
    <w:rsid w:val="00932FBA"/>
    <w:rsid w:val="00950968"/>
    <w:rsid w:val="00991256"/>
    <w:rsid w:val="009D17D2"/>
    <w:rsid w:val="009E260D"/>
    <w:rsid w:val="00A14454"/>
    <w:rsid w:val="00A3051C"/>
    <w:rsid w:val="00AC4C22"/>
    <w:rsid w:val="00AF6EA6"/>
    <w:rsid w:val="00B002F5"/>
    <w:rsid w:val="00B03DCC"/>
    <w:rsid w:val="00B1715D"/>
    <w:rsid w:val="00B35336"/>
    <w:rsid w:val="00B420B0"/>
    <w:rsid w:val="00BB5622"/>
    <w:rsid w:val="00C00B82"/>
    <w:rsid w:val="00C42FEA"/>
    <w:rsid w:val="00C460E3"/>
    <w:rsid w:val="00C7347F"/>
    <w:rsid w:val="00CB06E3"/>
    <w:rsid w:val="00CC60C5"/>
    <w:rsid w:val="00CE4FF1"/>
    <w:rsid w:val="00D143D2"/>
    <w:rsid w:val="00D15BB1"/>
    <w:rsid w:val="00D21451"/>
    <w:rsid w:val="00D26CD1"/>
    <w:rsid w:val="00D37DED"/>
    <w:rsid w:val="00D42E76"/>
    <w:rsid w:val="00D520AD"/>
    <w:rsid w:val="00D62E19"/>
    <w:rsid w:val="00D82A04"/>
    <w:rsid w:val="00DB6EA1"/>
    <w:rsid w:val="00DD077E"/>
    <w:rsid w:val="00DF3D34"/>
    <w:rsid w:val="00DF7156"/>
    <w:rsid w:val="00E173D8"/>
    <w:rsid w:val="00E83E88"/>
    <w:rsid w:val="00E90235"/>
    <w:rsid w:val="00EF1198"/>
    <w:rsid w:val="00F36A93"/>
    <w:rsid w:val="00F37E5F"/>
    <w:rsid w:val="00F46F79"/>
    <w:rsid w:val="00F5553B"/>
    <w:rsid w:val="00F75A65"/>
    <w:rsid w:val="00FD0F9A"/>
    <w:rsid w:val="00FD520C"/>
    <w:rsid w:val="00FD54D8"/>
    <w:rsid w:val="00FE6192"/>
    <w:rsid w:val="0133596D"/>
    <w:rsid w:val="0145126E"/>
    <w:rsid w:val="018D1568"/>
    <w:rsid w:val="01BE4988"/>
    <w:rsid w:val="01F84450"/>
    <w:rsid w:val="021E35B5"/>
    <w:rsid w:val="02453B79"/>
    <w:rsid w:val="02C35100"/>
    <w:rsid w:val="03447B71"/>
    <w:rsid w:val="035276CA"/>
    <w:rsid w:val="035B7BCE"/>
    <w:rsid w:val="04135E9F"/>
    <w:rsid w:val="041D391A"/>
    <w:rsid w:val="04CD3FD2"/>
    <w:rsid w:val="052365E0"/>
    <w:rsid w:val="052728D8"/>
    <w:rsid w:val="055251C0"/>
    <w:rsid w:val="0558324B"/>
    <w:rsid w:val="055E3C4A"/>
    <w:rsid w:val="0576752A"/>
    <w:rsid w:val="05866C5C"/>
    <w:rsid w:val="05D56DA5"/>
    <w:rsid w:val="05E7359E"/>
    <w:rsid w:val="061373E8"/>
    <w:rsid w:val="061E6553"/>
    <w:rsid w:val="062028F2"/>
    <w:rsid w:val="068B1FCF"/>
    <w:rsid w:val="06B34821"/>
    <w:rsid w:val="0710099F"/>
    <w:rsid w:val="07DE4365"/>
    <w:rsid w:val="08735557"/>
    <w:rsid w:val="08E35EE6"/>
    <w:rsid w:val="09105B5D"/>
    <w:rsid w:val="093673AC"/>
    <w:rsid w:val="0A016193"/>
    <w:rsid w:val="0A02474D"/>
    <w:rsid w:val="0A950E1A"/>
    <w:rsid w:val="0A975ED0"/>
    <w:rsid w:val="0AB14369"/>
    <w:rsid w:val="0B27529E"/>
    <w:rsid w:val="0B393D4E"/>
    <w:rsid w:val="0B4E2FBD"/>
    <w:rsid w:val="0B592210"/>
    <w:rsid w:val="0BEE53D1"/>
    <w:rsid w:val="0C527365"/>
    <w:rsid w:val="0C9B70AF"/>
    <w:rsid w:val="0CA508C9"/>
    <w:rsid w:val="0CB22AAD"/>
    <w:rsid w:val="0CE636A3"/>
    <w:rsid w:val="0D194B88"/>
    <w:rsid w:val="0D3A423C"/>
    <w:rsid w:val="0D5067FA"/>
    <w:rsid w:val="0E7B3D34"/>
    <w:rsid w:val="0E8A4BAE"/>
    <w:rsid w:val="0E972763"/>
    <w:rsid w:val="0EB76E92"/>
    <w:rsid w:val="0EC2602D"/>
    <w:rsid w:val="0F3E20FA"/>
    <w:rsid w:val="10351E39"/>
    <w:rsid w:val="107E0129"/>
    <w:rsid w:val="10CA3CE1"/>
    <w:rsid w:val="10FF2865"/>
    <w:rsid w:val="111D6728"/>
    <w:rsid w:val="1122253E"/>
    <w:rsid w:val="1147484F"/>
    <w:rsid w:val="11914B16"/>
    <w:rsid w:val="11C20A6A"/>
    <w:rsid w:val="11DB3EEB"/>
    <w:rsid w:val="12423939"/>
    <w:rsid w:val="12910478"/>
    <w:rsid w:val="12DA7558"/>
    <w:rsid w:val="12F421F4"/>
    <w:rsid w:val="13494C0E"/>
    <w:rsid w:val="13952068"/>
    <w:rsid w:val="139D0F37"/>
    <w:rsid w:val="13C67DED"/>
    <w:rsid w:val="141F6FC5"/>
    <w:rsid w:val="143E2016"/>
    <w:rsid w:val="145306D4"/>
    <w:rsid w:val="14CB1433"/>
    <w:rsid w:val="1531050B"/>
    <w:rsid w:val="156817B3"/>
    <w:rsid w:val="15D06251"/>
    <w:rsid w:val="15D24B2B"/>
    <w:rsid w:val="15DB2107"/>
    <w:rsid w:val="16B41870"/>
    <w:rsid w:val="16BC0A33"/>
    <w:rsid w:val="16BE4438"/>
    <w:rsid w:val="16E12242"/>
    <w:rsid w:val="16FA0ADA"/>
    <w:rsid w:val="17337D36"/>
    <w:rsid w:val="174C01D8"/>
    <w:rsid w:val="17742E29"/>
    <w:rsid w:val="17C9530C"/>
    <w:rsid w:val="18050B15"/>
    <w:rsid w:val="18121A9F"/>
    <w:rsid w:val="186471D6"/>
    <w:rsid w:val="189003C6"/>
    <w:rsid w:val="18A817D1"/>
    <w:rsid w:val="18D87D44"/>
    <w:rsid w:val="18E55C2B"/>
    <w:rsid w:val="19151415"/>
    <w:rsid w:val="191B2168"/>
    <w:rsid w:val="192D796B"/>
    <w:rsid w:val="19871619"/>
    <w:rsid w:val="19F32320"/>
    <w:rsid w:val="1A08449B"/>
    <w:rsid w:val="1A366D65"/>
    <w:rsid w:val="1A3F471E"/>
    <w:rsid w:val="1ACF008C"/>
    <w:rsid w:val="1B1D7DF1"/>
    <w:rsid w:val="1BB76867"/>
    <w:rsid w:val="1BBE4278"/>
    <w:rsid w:val="1C052DD1"/>
    <w:rsid w:val="1C7E4A93"/>
    <w:rsid w:val="1C974A7C"/>
    <w:rsid w:val="1C9B5060"/>
    <w:rsid w:val="1CAF5805"/>
    <w:rsid w:val="1CBE3751"/>
    <w:rsid w:val="1CE210C6"/>
    <w:rsid w:val="1CFD5979"/>
    <w:rsid w:val="1DD43BA5"/>
    <w:rsid w:val="1E6E5667"/>
    <w:rsid w:val="1E760696"/>
    <w:rsid w:val="1E8055A0"/>
    <w:rsid w:val="1F3B705E"/>
    <w:rsid w:val="1F3C7916"/>
    <w:rsid w:val="1FA22F23"/>
    <w:rsid w:val="1FBB203E"/>
    <w:rsid w:val="1FDB30A4"/>
    <w:rsid w:val="1FEC5F1C"/>
    <w:rsid w:val="1FFF0296"/>
    <w:rsid w:val="200355AE"/>
    <w:rsid w:val="20364F95"/>
    <w:rsid w:val="20553333"/>
    <w:rsid w:val="216A5C67"/>
    <w:rsid w:val="21E623AD"/>
    <w:rsid w:val="221503F5"/>
    <w:rsid w:val="224C2B2F"/>
    <w:rsid w:val="22703738"/>
    <w:rsid w:val="22966A03"/>
    <w:rsid w:val="22A20274"/>
    <w:rsid w:val="22B90AF6"/>
    <w:rsid w:val="23760476"/>
    <w:rsid w:val="23F41433"/>
    <w:rsid w:val="244F1D13"/>
    <w:rsid w:val="25437E81"/>
    <w:rsid w:val="25522647"/>
    <w:rsid w:val="25627C02"/>
    <w:rsid w:val="25746862"/>
    <w:rsid w:val="25BB2B6A"/>
    <w:rsid w:val="25BE6141"/>
    <w:rsid w:val="25C434CE"/>
    <w:rsid w:val="25FB53E5"/>
    <w:rsid w:val="261315E6"/>
    <w:rsid w:val="262B0C28"/>
    <w:rsid w:val="27030519"/>
    <w:rsid w:val="27BB761C"/>
    <w:rsid w:val="27BC002E"/>
    <w:rsid w:val="285544C3"/>
    <w:rsid w:val="28725224"/>
    <w:rsid w:val="287A65BF"/>
    <w:rsid w:val="28D3165A"/>
    <w:rsid w:val="28DB3FBF"/>
    <w:rsid w:val="294B140A"/>
    <w:rsid w:val="298D0E05"/>
    <w:rsid w:val="29CA0687"/>
    <w:rsid w:val="29EE26FA"/>
    <w:rsid w:val="2A01044A"/>
    <w:rsid w:val="2A573383"/>
    <w:rsid w:val="2B06407A"/>
    <w:rsid w:val="2B242471"/>
    <w:rsid w:val="2B253018"/>
    <w:rsid w:val="2B266D01"/>
    <w:rsid w:val="2B3E6E83"/>
    <w:rsid w:val="2B56379A"/>
    <w:rsid w:val="2C52671C"/>
    <w:rsid w:val="2C5F4E53"/>
    <w:rsid w:val="2CC15491"/>
    <w:rsid w:val="2D3849AD"/>
    <w:rsid w:val="2D425B54"/>
    <w:rsid w:val="2D8A0470"/>
    <w:rsid w:val="2D8D5915"/>
    <w:rsid w:val="2D90759D"/>
    <w:rsid w:val="2E834A02"/>
    <w:rsid w:val="2E9D3E78"/>
    <w:rsid w:val="2EEC72C3"/>
    <w:rsid w:val="2EF65E9F"/>
    <w:rsid w:val="2EF92187"/>
    <w:rsid w:val="2FC57F9E"/>
    <w:rsid w:val="2FCC0211"/>
    <w:rsid w:val="2FEC69EE"/>
    <w:rsid w:val="30E96A6B"/>
    <w:rsid w:val="3106152C"/>
    <w:rsid w:val="313B2600"/>
    <w:rsid w:val="31631F19"/>
    <w:rsid w:val="3164757C"/>
    <w:rsid w:val="322D7D19"/>
    <w:rsid w:val="326C775F"/>
    <w:rsid w:val="32E77EAB"/>
    <w:rsid w:val="33076EB8"/>
    <w:rsid w:val="33192789"/>
    <w:rsid w:val="33587E19"/>
    <w:rsid w:val="33897CA1"/>
    <w:rsid w:val="3426791E"/>
    <w:rsid w:val="34590619"/>
    <w:rsid w:val="34BE38AA"/>
    <w:rsid w:val="34C42404"/>
    <w:rsid w:val="34C76B6A"/>
    <w:rsid w:val="35BB76FD"/>
    <w:rsid w:val="360000DE"/>
    <w:rsid w:val="36202746"/>
    <w:rsid w:val="36214E92"/>
    <w:rsid w:val="36252AB9"/>
    <w:rsid w:val="36D32E30"/>
    <w:rsid w:val="36D904C5"/>
    <w:rsid w:val="37305543"/>
    <w:rsid w:val="376E51D5"/>
    <w:rsid w:val="37795FC9"/>
    <w:rsid w:val="378C3736"/>
    <w:rsid w:val="37DD4715"/>
    <w:rsid w:val="37EA793B"/>
    <w:rsid w:val="37F44849"/>
    <w:rsid w:val="37F548A7"/>
    <w:rsid w:val="38967771"/>
    <w:rsid w:val="38D078C1"/>
    <w:rsid w:val="38FC7B3A"/>
    <w:rsid w:val="398F2913"/>
    <w:rsid w:val="39FF54B3"/>
    <w:rsid w:val="3A3D35F1"/>
    <w:rsid w:val="3A6D1A76"/>
    <w:rsid w:val="3ADF4D0F"/>
    <w:rsid w:val="3B4B4549"/>
    <w:rsid w:val="3BDF4335"/>
    <w:rsid w:val="3BFE5F4C"/>
    <w:rsid w:val="3C096E17"/>
    <w:rsid w:val="3C53636E"/>
    <w:rsid w:val="3C550A77"/>
    <w:rsid w:val="3C745A1F"/>
    <w:rsid w:val="3C80559B"/>
    <w:rsid w:val="3C99283C"/>
    <w:rsid w:val="3D236EEB"/>
    <w:rsid w:val="3D2B6317"/>
    <w:rsid w:val="3D627B0A"/>
    <w:rsid w:val="3D6344A4"/>
    <w:rsid w:val="3D6D6D4A"/>
    <w:rsid w:val="3D9555DE"/>
    <w:rsid w:val="3DBE4821"/>
    <w:rsid w:val="3E8A341A"/>
    <w:rsid w:val="3EA8429A"/>
    <w:rsid w:val="3ED15FC6"/>
    <w:rsid w:val="3F572058"/>
    <w:rsid w:val="3F594231"/>
    <w:rsid w:val="3F66342C"/>
    <w:rsid w:val="3FA801F9"/>
    <w:rsid w:val="3FF536CF"/>
    <w:rsid w:val="4025242F"/>
    <w:rsid w:val="405F41D3"/>
    <w:rsid w:val="407A2102"/>
    <w:rsid w:val="40927E25"/>
    <w:rsid w:val="40A501A8"/>
    <w:rsid w:val="40D62E29"/>
    <w:rsid w:val="40D83AD9"/>
    <w:rsid w:val="40EA6F6D"/>
    <w:rsid w:val="412715AE"/>
    <w:rsid w:val="41E8763A"/>
    <w:rsid w:val="422B3096"/>
    <w:rsid w:val="42733C2E"/>
    <w:rsid w:val="428B09EE"/>
    <w:rsid w:val="429A69E5"/>
    <w:rsid w:val="42A3057E"/>
    <w:rsid w:val="431126D8"/>
    <w:rsid w:val="431B0E14"/>
    <w:rsid w:val="432917F5"/>
    <w:rsid w:val="435D4731"/>
    <w:rsid w:val="436E2B61"/>
    <w:rsid w:val="43BE2A76"/>
    <w:rsid w:val="43D84E41"/>
    <w:rsid w:val="441764B3"/>
    <w:rsid w:val="44755446"/>
    <w:rsid w:val="44930D44"/>
    <w:rsid w:val="44990EE8"/>
    <w:rsid w:val="44DA143A"/>
    <w:rsid w:val="452648C3"/>
    <w:rsid w:val="453D23DE"/>
    <w:rsid w:val="45533022"/>
    <w:rsid w:val="455E750A"/>
    <w:rsid w:val="456D0960"/>
    <w:rsid w:val="45922A4F"/>
    <w:rsid w:val="46100B40"/>
    <w:rsid w:val="465C27F4"/>
    <w:rsid w:val="46827A64"/>
    <w:rsid w:val="469D15AD"/>
    <w:rsid w:val="46CA3828"/>
    <w:rsid w:val="46EC481B"/>
    <w:rsid w:val="47293789"/>
    <w:rsid w:val="47452ACC"/>
    <w:rsid w:val="47D176B4"/>
    <w:rsid w:val="4885591F"/>
    <w:rsid w:val="48957DD6"/>
    <w:rsid w:val="48BA705A"/>
    <w:rsid w:val="48FE5B4C"/>
    <w:rsid w:val="49256E16"/>
    <w:rsid w:val="493F6507"/>
    <w:rsid w:val="49556B17"/>
    <w:rsid w:val="49DD6748"/>
    <w:rsid w:val="49F30A98"/>
    <w:rsid w:val="49F35F30"/>
    <w:rsid w:val="4A4E483B"/>
    <w:rsid w:val="4A7D70D3"/>
    <w:rsid w:val="4B18309C"/>
    <w:rsid w:val="4B2D7971"/>
    <w:rsid w:val="4B347804"/>
    <w:rsid w:val="4B4042D5"/>
    <w:rsid w:val="4BD17A37"/>
    <w:rsid w:val="4BD373B2"/>
    <w:rsid w:val="4C34416E"/>
    <w:rsid w:val="4C846CD8"/>
    <w:rsid w:val="4CB66F56"/>
    <w:rsid w:val="4CB90BCB"/>
    <w:rsid w:val="4D1C292A"/>
    <w:rsid w:val="4D2B2752"/>
    <w:rsid w:val="4D3165E8"/>
    <w:rsid w:val="4D7A4965"/>
    <w:rsid w:val="4DA617B8"/>
    <w:rsid w:val="4E5D2369"/>
    <w:rsid w:val="4EC1680F"/>
    <w:rsid w:val="4F2B4775"/>
    <w:rsid w:val="4F4912EF"/>
    <w:rsid w:val="4F5E0853"/>
    <w:rsid w:val="4FB939FD"/>
    <w:rsid w:val="4FF5335A"/>
    <w:rsid w:val="51286D98"/>
    <w:rsid w:val="523E629E"/>
    <w:rsid w:val="52C94104"/>
    <w:rsid w:val="52F42027"/>
    <w:rsid w:val="531B4C57"/>
    <w:rsid w:val="531C05E5"/>
    <w:rsid w:val="53975823"/>
    <w:rsid w:val="53DB28A2"/>
    <w:rsid w:val="54724142"/>
    <w:rsid w:val="547C3655"/>
    <w:rsid w:val="54EE7936"/>
    <w:rsid w:val="5533603F"/>
    <w:rsid w:val="556A1E26"/>
    <w:rsid w:val="557C180C"/>
    <w:rsid w:val="55B822A9"/>
    <w:rsid w:val="55CA44CD"/>
    <w:rsid w:val="55E95039"/>
    <w:rsid w:val="55F26445"/>
    <w:rsid w:val="563D54CB"/>
    <w:rsid w:val="566F56D3"/>
    <w:rsid w:val="568836E5"/>
    <w:rsid w:val="56A4181B"/>
    <w:rsid w:val="56FF66EF"/>
    <w:rsid w:val="574236D0"/>
    <w:rsid w:val="57876137"/>
    <w:rsid w:val="57902B4D"/>
    <w:rsid w:val="57AA3916"/>
    <w:rsid w:val="57CD1C94"/>
    <w:rsid w:val="580F34B2"/>
    <w:rsid w:val="58474EC5"/>
    <w:rsid w:val="589E35DF"/>
    <w:rsid w:val="58CE5EA5"/>
    <w:rsid w:val="58EE1911"/>
    <w:rsid w:val="595C4D2D"/>
    <w:rsid w:val="598F1801"/>
    <w:rsid w:val="5A165CA8"/>
    <w:rsid w:val="5A6B4B2D"/>
    <w:rsid w:val="5A7633DB"/>
    <w:rsid w:val="5AAC339A"/>
    <w:rsid w:val="5ABD6388"/>
    <w:rsid w:val="5ADB7F0E"/>
    <w:rsid w:val="5B317B29"/>
    <w:rsid w:val="5B37028C"/>
    <w:rsid w:val="5B7313FE"/>
    <w:rsid w:val="5BA4122C"/>
    <w:rsid w:val="5BBA20B7"/>
    <w:rsid w:val="5BD6744C"/>
    <w:rsid w:val="5CFD41D8"/>
    <w:rsid w:val="5D0032C6"/>
    <w:rsid w:val="5D0525CD"/>
    <w:rsid w:val="5D2A2298"/>
    <w:rsid w:val="5D654295"/>
    <w:rsid w:val="5DB77634"/>
    <w:rsid w:val="5E207287"/>
    <w:rsid w:val="5E2A3827"/>
    <w:rsid w:val="5ED75F58"/>
    <w:rsid w:val="5EDA26FA"/>
    <w:rsid w:val="5F1E2B99"/>
    <w:rsid w:val="5F5A3F8A"/>
    <w:rsid w:val="5FA23419"/>
    <w:rsid w:val="5FB15A0F"/>
    <w:rsid w:val="603C0FBE"/>
    <w:rsid w:val="60617676"/>
    <w:rsid w:val="608E42B8"/>
    <w:rsid w:val="60E4353D"/>
    <w:rsid w:val="60F900D8"/>
    <w:rsid w:val="60F95373"/>
    <w:rsid w:val="60FD2E82"/>
    <w:rsid w:val="61CF5C34"/>
    <w:rsid w:val="61F60ACF"/>
    <w:rsid w:val="62066D4C"/>
    <w:rsid w:val="62397798"/>
    <w:rsid w:val="62551E05"/>
    <w:rsid w:val="62556609"/>
    <w:rsid w:val="629468FF"/>
    <w:rsid w:val="62C956E6"/>
    <w:rsid w:val="62DE729D"/>
    <w:rsid w:val="6357242A"/>
    <w:rsid w:val="63651C5C"/>
    <w:rsid w:val="636A4BA0"/>
    <w:rsid w:val="63902E7E"/>
    <w:rsid w:val="63BE7400"/>
    <w:rsid w:val="63F30AED"/>
    <w:rsid w:val="63F92834"/>
    <w:rsid w:val="64AD7226"/>
    <w:rsid w:val="65A77083"/>
    <w:rsid w:val="65AA76B4"/>
    <w:rsid w:val="65F401A9"/>
    <w:rsid w:val="66175DBD"/>
    <w:rsid w:val="6693467C"/>
    <w:rsid w:val="673F2F8D"/>
    <w:rsid w:val="679E4AA2"/>
    <w:rsid w:val="67EF3374"/>
    <w:rsid w:val="680B26CA"/>
    <w:rsid w:val="682B450D"/>
    <w:rsid w:val="689B33C8"/>
    <w:rsid w:val="68C50589"/>
    <w:rsid w:val="693B2FB6"/>
    <w:rsid w:val="69710484"/>
    <w:rsid w:val="699B1ED0"/>
    <w:rsid w:val="69B85ADD"/>
    <w:rsid w:val="69E7619F"/>
    <w:rsid w:val="6A37397F"/>
    <w:rsid w:val="6AD3048F"/>
    <w:rsid w:val="6AF17BF6"/>
    <w:rsid w:val="6B411443"/>
    <w:rsid w:val="6B5E465F"/>
    <w:rsid w:val="6B5F00D1"/>
    <w:rsid w:val="6B8E76BB"/>
    <w:rsid w:val="6BA01EE2"/>
    <w:rsid w:val="6BC82605"/>
    <w:rsid w:val="6C1A67B9"/>
    <w:rsid w:val="6D770881"/>
    <w:rsid w:val="6D873813"/>
    <w:rsid w:val="6E2B20A2"/>
    <w:rsid w:val="6E88793E"/>
    <w:rsid w:val="6EE84134"/>
    <w:rsid w:val="6F0B4428"/>
    <w:rsid w:val="6FB2248E"/>
    <w:rsid w:val="6FB63BEB"/>
    <w:rsid w:val="70223294"/>
    <w:rsid w:val="70C34ECE"/>
    <w:rsid w:val="71145AB0"/>
    <w:rsid w:val="71192AFC"/>
    <w:rsid w:val="71CA6C0D"/>
    <w:rsid w:val="7208706C"/>
    <w:rsid w:val="72180D18"/>
    <w:rsid w:val="72322AA8"/>
    <w:rsid w:val="723353A5"/>
    <w:rsid w:val="723C217B"/>
    <w:rsid w:val="72444A1C"/>
    <w:rsid w:val="726972FE"/>
    <w:rsid w:val="72A746EB"/>
    <w:rsid w:val="72C46336"/>
    <w:rsid w:val="72D8479E"/>
    <w:rsid w:val="72E215B5"/>
    <w:rsid w:val="736F5EDB"/>
    <w:rsid w:val="740D1020"/>
    <w:rsid w:val="742478E4"/>
    <w:rsid w:val="743220D1"/>
    <w:rsid w:val="74441B2A"/>
    <w:rsid w:val="75447BAA"/>
    <w:rsid w:val="75667FED"/>
    <w:rsid w:val="75786B98"/>
    <w:rsid w:val="75BC5F59"/>
    <w:rsid w:val="75D51BD2"/>
    <w:rsid w:val="75DC0AF8"/>
    <w:rsid w:val="75EA5C52"/>
    <w:rsid w:val="763778F2"/>
    <w:rsid w:val="76AF4121"/>
    <w:rsid w:val="76C87857"/>
    <w:rsid w:val="770C0143"/>
    <w:rsid w:val="77784DC2"/>
    <w:rsid w:val="77904A14"/>
    <w:rsid w:val="77D258F3"/>
    <w:rsid w:val="780E78DA"/>
    <w:rsid w:val="78296255"/>
    <w:rsid w:val="78967C72"/>
    <w:rsid w:val="78FC5D94"/>
    <w:rsid w:val="79097FE4"/>
    <w:rsid w:val="79A22511"/>
    <w:rsid w:val="79CC6B85"/>
    <w:rsid w:val="79E70F25"/>
    <w:rsid w:val="7A3D3EAA"/>
    <w:rsid w:val="7A426A62"/>
    <w:rsid w:val="7A5F403B"/>
    <w:rsid w:val="7AA60883"/>
    <w:rsid w:val="7AB10A01"/>
    <w:rsid w:val="7BCB70D0"/>
    <w:rsid w:val="7BEE1BF6"/>
    <w:rsid w:val="7BF65498"/>
    <w:rsid w:val="7BF8146B"/>
    <w:rsid w:val="7C0F2CAB"/>
    <w:rsid w:val="7C1158D1"/>
    <w:rsid w:val="7C535877"/>
    <w:rsid w:val="7C8B05F4"/>
    <w:rsid w:val="7CD846C1"/>
    <w:rsid w:val="7CFA612B"/>
    <w:rsid w:val="7D186A59"/>
    <w:rsid w:val="7D401C94"/>
    <w:rsid w:val="7D45358B"/>
    <w:rsid w:val="7D9A75E1"/>
    <w:rsid w:val="7DF450BB"/>
    <w:rsid w:val="7E3D0261"/>
    <w:rsid w:val="7E5418F6"/>
    <w:rsid w:val="7EC12EC0"/>
    <w:rsid w:val="7F2B58B6"/>
    <w:rsid w:val="7F4179D6"/>
    <w:rsid w:val="7FC84960"/>
    <w:rsid w:val="7FFC40C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qFormat/>
    <w:uiPriority w:val="99"/>
    <w:rPr>
      <w:kern w:val="0"/>
      <w:sz w:val="18"/>
      <w:szCs w:val="18"/>
    </w:rPr>
  </w:style>
  <w:style w:type="paragraph" w:styleId="3">
    <w:name w:val="footer"/>
    <w:basedOn w:val="1"/>
    <w:link w:val="11"/>
    <w:qFormat/>
    <w:uiPriority w:val="99"/>
    <w:pPr>
      <w:tabs>
        <w:tab w:val="center" w:pos="4153"/>
        <w:tab w:val="right" w:pos="8306"/>
      </w:tabs>
      <w:snapToGrid w:val="0"/>
      <w:jc w:val="left"/>
    </w:pPr>
    <w:rPr>
      <w:kern w:val="0"/>
      <w:sz w:val="18"/>
      <w:szCs w:val="18"/>
    </w:rPr>
  </w:style>
  <w:style w:type="paragraph" w:styleId="4">
    <w:name w:val="header"/>
    <w:basedOn w:val="1"/>
    <w:link w:val="10"/>
    <w:qFormat/>
    <w:uiPriority w:val="99"/>
    <w:pPr>
      <w:pBdr>
        <w:bottom w:val="single" w:color="auto" w:sz="6" w:space="1"/>
      </w:pBdr>
      <w:tabs>
        <w:tab w:val="center" w:pos="4153"/>
        <w:tab w:val="right" w:pos="8306"/>
      </w:tabs>
      <w:snapToGrid w:val="0"/>
      <w:jc w:val="center"/>
    </w:pPr>
    <w:rPr>
      <w:kern w:val="0"/>
      <w:sz w:val="18"/>
      <w:szCs w:val="18"/>
    </w:rPr>
  </w:style>
  <w:style w:type="paragraph" w:styleId="5">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table" w:styleId="7">
    <w:name w:val="Table Grid"/>
    <w:basedOn w:val="6"/>
    <w:qFormat/>
    <w:uiPriority w:val="99"/>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qFormat/>
    <w:locked/>
    <w:uiPriority w:val="99"/>
    <w:rPr>
      <w:b/>
      <w:bCs/>
    </w:rPr>
  </w:style>
  <w:style w:type="character" w:customStyle="1" w:styleId="10">
    <w:name w:val="页眉 Char"/>
    <w:link w:val="4"/>
    <w:qFormat/>
    <w:locked/>
    <w:uiPriority w:val="99"/>
    <w:rPr>
      <w:sz w:val="18"/>
      <w:szCs w:val="18"/>
    </w:rPr>
  </w:style>
  <w:style w:type="character" w:customStyle="1" w:styleId="11">
    <w:name w:val="页脚 Char"/>
    <w:link w:val="3"/>
    <w:qFormat/>
    <w:locked/>
    <w:uiPriority w:val="99"/>
    <w:rPr>
      <w:sz w:val="18"/>
      <w:szCs w:val="18"/>
    </w:rPr>
  </w:style>
  <w:style w:type="character" w:customStyle="1" w:styleId="12">
    <w:name w:val="批注框文本 Char"/>
    <w:link w:val="2"/>
    <w:semiHidden/>
    <w:qFormat/>
    <w:locked/>
    <w:uiPriority w:val="99"/>
    <w:rPr>
      <w:sz w:val="18"/>
      <w:szCs w:val="18"/>
    </w:rPr>
  </w:style>
  <w:style w:type="paragraph" w:customStyle="1" w:styleId="13">
    <w:name w:val="Heading #2|1"/>
    <w:basedOn w:val="1"/>
    <w:qFormat/>
    <w:uiPriority w:val="0"/>
    <w:pPr>
      <w:widowControl w:val="0"/>
      <w:shd w:val="clear" w:color="auto" w:fill="auto"/>
      <w:spacing w:after="280"/>
      <w:jc w:val="center"/>
      <w:outlineLvl w:val="1"/>
    </w:pPr>
    <w:rPr>
      <w:rFonts w:ascii="宋体" w:hAnsi="宋体" w:eastAsia="宋体" w:cs="宋体"/>
      <w:sz w:val="40"/>
      <w:szCs w:val="40"/>
      <w:u w:val="none"/>
      <w:shd w:val="clear" w:color="auto" w:fill="auto"/>
      <w:lang w:val="zh-TW" w:eastAsia="zh-TW" w:bidi="zh-TW"/>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F123B58-3AE6-4C35-84AE-29259B562ADB}">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1</Pages>
  <Words>1560</Words>
  <Characters>8894</Characters>
  <Lines>74</Lines>
  <Paragraphs>20</Paragraphs>
  <TotalTime>21</TotalTime>
  <ScaleCrop>false</ScaleCrop>
  <LinksUpToDate>false</LinksUpToDate>
  <CharactersWithSpaces>10434</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2017-09-10T11:23:00Z</dcterms:created>
  <dc:creator>王东阁</dc:creator>
  <cp:lastModifiedBy>Administrator</cp:lastModifiedBy>
  <cp:lastPrinted>2021-07-08T07:54:00Z</cp:lastPrinted>
  <dcterms:modified xsi:type="dcterms:W3CDTF">2021-07-30T00:49:59Z</dcterms:modified>
  <cp:revision>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477AC18577C24542B69DA1BC7079971F</vt:lpwstr>
  </property>
</Properties>
</file>